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2022年度</w:t>
              <w:br w:type="textWrapping"/>
              <w:t/>
            </w:r>
            <w:r>
              <w:rPr>
                <w:rFonts w:ascii="宋体" w:hAnsi="宋体" w:cs="宋体" w:eastAsia="宋体"/>
                <w:b w:val="true"/>
                <w:sz w:val="52"/>
              </w:rPr>
              <w:t>南京市栖霞区商务局</w:t>
            </w:r>
            <w:r>
              <w:rPr>
                <w:rFonts w:ascii="宋体" w:hAnsi="宋体" w:cs="宋体" w:eastAsia="宋体"/>
                <w:b w:val="true"/>
                <w:sz w:val="52"/>
              </w:rPr>
              <w:t xml:space="preserve"></w:t>
              <w:br w:type="textWrapping"/>
              <w:t>部门预算公开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2022</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lang w:val="en-US" w:eastAsia="zh-CN"/>
        </w:rPr>
        <w:t>年度</w:t>
      </w:r>
      <w:r>
        <w:rPr>
          <w:rFonts w:ascii="仿宋" w:hAnsi="仿宋" w:cs="仿宋" w:eastAsia="仿宋"/>
          <w:b w:val="true"/>
        </w:rPr>
        <w:t>部门</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70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（一）贯彻执行国家、省、市有关国内外贸易、国际经济 合作、现代服务业的法律法规及方针政策;拟订并组织实施全 区商务领域发展规划和目标;监测分析商务运行状况;对国内 贸易流通体制改革和开放型经济改革发展战略进行探索研究， 并提出对策建议。</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（二）拟订全区内贸发展规划，促进城乡市场发展;指导 协调城市商业网点和大宗产品批发市场布局，组织推进市场体 系建设;推进农村市场和农产品流通系统建设，负责城市菜篮子工程规划、建设、管理，保障市场蔬菜、副食品供应，推进食用农产品等重要产品流通追溯体系建设。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（三）承担全区重要消费品市场调控职责，统计监测分析 市场运行和商品供求情况，进行预测预警和信息引导;建立健 全生活必需品市场供应应急管理机制，按分工负责重要消费品 储备和市场调控工作，统筹商务领域消费促进工作。推动商务 领域信用体系建设，指导商业信用销售，建立市场诚信公共服 务 平 台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（四）负责全区商品进出口管理工作;拟订促进外贸增长 方式转变的政策措施;负责对外贸易经营者备案登记工作;协 调规范对外贸易经营秩序，推进贸易便利化;指导、协调全区 机电和高新技术产品进出口工作;指导协调涉及反倾销、反补 贴、保障措施及其他与进出口公平贸易相关的工作，建立和完 善预警机制，参与产业损害调查;协助涉及世界贸易组织事务 的相关工作;协助市局推进国家跨境电商综合试验区建设，指 导贸易促进活动和外贸促进体系建设;协助对接口岸、综保区 等相关工作。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（五）负责拟订全区服务贸易发展规划; 指导服务贸易领 域的对外开放;会同有关部门拟订促进国际服务外包业发展和 服务出口的政策并组织实施;推动服务贸易和服务外包平台建 设; 承担涉外知识产权、技术进出口相关工作。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（六）负责全区外商投资综合管理工作，拟订全区利用外 资发展规划、目标和年度计划;承担区属权限内外商投资企业的设立、变更和终止解散等备案工作并实施监督管理; 负责全 区外资总部及功能性机构的引进;加强与境内外投资机构联系 交流;完善外商投资监管体系，加强事中事后监管，协调外商 投资营商环境建设工作;负责全区境外投资贸易促进网络建设 与管理工作。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（七）负责全区对外投资和经济合作工作，拟订和执行促 进对外投资和经济合作的政策措施。为全区企业赴境外投资设 立企业（非金融类）和机构提供服务并实施监督与管理; 依法 管理和监督对外承包工程和对外劳务合作。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（八）拟订全区投资促进、招商引资综合政策措施并组织  实施，会同区相关部门出台招商引资支撑政策;负责拟订全区 投资促进发展规划和指导性意见，指导和管理全区投资促进工 作;负责全区招商引资的组织实施和目标管理工作;负责研究 制定投资促进、招商引资绩效考核办法和奖惩制度并组织实施， 负责全区投资促进、招商引资综合评价考核工作。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（九）负责全区境内外重大投资促进活动的统筹、组织、  协调; 负责全区各类重大产业项目招引工作的整体推进和协调 服务; 牵头组织全区招商资源，建立招商综合平台，统一发布 招商信息;协调做好投资促进、项目落地的各项服务工作，协 调重大项目推进;协调项目评审、要素供给和项目流转等工作， 规范招商引资秩序;牵头组织投资促进联席会议。</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（十）负责全区投资促进人才队伍建设和培训工作;负责 全区投资环境整体宣传推广工作;统筹利用社会资源、市场资源创新招商项目发现机制，组织建设精准招商、高质量招商的 支撑体系。</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（十一）负责推进国内贸易流通产业结构调整，指导流通 企业改革发展;提出促进商贸中小企业发展的政策建议;推动 流通标准化和连锁经营、商业特许经营、商贸物流配送等现代 流通方式的发展; 负责对拍卖、二手车、成品油、药品等特殊 流通行业监督管理;推动老字号保护发展;建设法治化营商环 境; 配合有关部门做好商贸服务业（含餐饮业、住宿业）安全 生产监督管理工作。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（十二）负责全区现代物流工作，牵头推进现代物流体系 建设和供应链发展体系建设; 拟订并组织实施全区会展业发展 的规划和政策，促进会展业有序发展;拟订并实施全区电子商 务发展的规划和政策，推进商务系统信息化建设，落实商贸服 务领域电子商务发展工作。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（十三）完成区委、区政府交办的其他任务。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部门</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1.</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（一）办公室。负责机关日常运转工作，承担信息、安全、 保密、政务公开等工作。承担机关及所属单位的机构编制、干 部人事、财务预算、工资福利、教育培训、考核奖惩、新闻宣传和老干部工作;承担综合性文稿的起草和会议保障工作。（二）综合服务科。组织开展开放型经济、内贸流通等商  务工作重大问题研究并提出意见、建议;负责拟订商务发展年  度工作目标计划，并监督执行;承担全区商务专项目标的分解、 监测、报统、分析和考评工作，定期编印《商务工作简报》;牵 头起草商务工作重要文件和综合性文稿，组织实施商务领域经 济运行专题调研; 统筹协调商务领域综合改革和深化改革有关 工作，负责商务系统区域合作事宜。（三）商贸流通业发展科。负责全区商贸流通的发展规划工作，做好商贸流通体制改革试点和推进深化工作，支持促进商贸中小企业发展，推动流通标准化、连锁经营、商业特许经营等现代流通方式发展; 按有关规定对拍卖、租赁（除融资租 赁）、旧货流通等特殊流通行业进行监督管理;促进绿色流通发展，指导流通领域节能降耗和再生资源回收工作;负责对重点 商贸企业进行市场运行监测、分析、预警预报工作，负责全区社会消费品零售总额按照目标增幅增长的推进及综合评价、考核奖惩工作;负责重大节假日重点监测企业经营情况归报;统筹商务领域消费促进工作，提出商务领域促进消费的工作措施和政策建议;负责拟定全区商贸服务业发展指导意见，承担商贸服务业（含餐饮业、住宿业）的行业管理工作;配合市商务局做好推动老字号保护、传承与振兴工作;协助所涉及产业的 项目招商引资工作。（四）外资外经管理科。负责指导、协调和综合管理全区外商投资工作，拟订全区利用外资发展计划;对外商投资企业的设立、变更和终止解散等事项进行备案并实施监督管理; 负责推进外商投资企业增资和再投资工作;负责重点外资项目的跟踪、协调和服务工作;负责全区外商投资统计分析工作; 负责全区利用外资综合评价和考核奖惩工作;牵头组织实施全区 外商投资企业联合年报工作;依法监督检查区内外商投资企业 执行法律法规及履行合同、章程的情况，负责全区外商投资企业的管理和服务工作;贯彻执行国家和省市对外投资和经济合作政策，根据权限依法管理和监督全区对外投资（非金融类）、 对外承包工程、对外劳务合作和对外援助等对外经济合作业务; 协助处理境外劳务纠纷等相关工作; 指导企业申报国家、省、 市对外经济合作扶持资金。（五）外贸外包管理科。负责全区对外贸易管理工作，贯彻落实促进外贸稳定增长与转型升级的政策措施; 负责货物进出口贸易统计和运行分析，负责国家、省、市外贸发展资金的申报和管理工作; 配合市局规范外贸经营秩序，推动外贸信用体系建设，负责国家有关反倾销、反补贴和保障措施的法律法规及政策宣传解释工作; 负责制定并组织实施全区国际服务贸易和服务外包发展规划以及年度目标任务;负责全区服务贸易和服务外包的综合管理、协调服务和统计工作;负责指导服务贸易企业和服务外包企业及培训机构申报国家和省、市促进服务贸易、服务外包发展专项资金; 承担服务贸易的促进、技术进出口管理工作;承担为驻区服务贸易和服务外包企业开拓国际市场服务工作，协助所涉及产业的项目招商引资工作。（六）市场体系建设科（区菜篮子工程办公室）。配合市商务局编制区域农贸市场网点规划，负责全区农贸市场建设、改造工作;负责推进农贸市场肉菜流通追溯体系工程建设;组织农贸市场申报创建国家、省、市级绿色市场; 衔接市局“菜篮子” 工程，推进农产品流通体系建设; 配合市局监督管理汽车流通业，指导汽车品牌销售管理工作;推进全区商务领域信用体系建设，引导行业规范，配合做好药品流通行业管理工作;推进社区商业、农村市场体系建设，推进各类商品市场的标准化建设;积极协调区域新建成品油零售经营网点规划建设工作，按规定对成品油流通进行监督管理，协调成品油市场供应，协助推广使用绿色能源。（七）电商及供应链发展科。牵头推进现代物流发展和现代物流体系建设，推进供应链发展和供应链体系建设，推动物流标准化、物流配送等现代流通方式发展;贯彻落实国家和省、 市有关运用电子商务开拓国内外市场的政策措施，执行国家电 子商务相关标准和规范;拟订推进全区电子商务发展规划和政策措施，推动电子商务平台、重点企业、示范基地和产业园区建设，支持中小企业电子商务推广与应用;建立完善电子商务信息服务体系建设，开展电子商务行业统计、监测和分析;促进电子商务交易、网络零售、电子商务服务业等多业态的发展; 负责拟定和组织实施促进全区跨境电商快速健康发展的政策措施，推进跨境电子商务发展;拟定并组织实施全区会展业发展规划和政策，组织和指导企业参加各类展会节庆活动，推动会展业有序发展;协助所涉及产业的项目招商引资工作。（八）项目推进科。负责开展全区重大招商项目的咨询、 服务并参与项目评审等工作;承担投资促进、项目推进协调机 制建设，负责招商项目推进的综合评价;负责重点招商项目区 内流转管理工作;承担全区重大项目集中签约组织工作;负责 招商项目全过程跟踪、推进工作，协调相关部门解决重大招商 项目洽谈、建设中出现的问题，做好街道和园区平台的招商服务工作; 负责重大项目责任落实和备忘事项的记载存档。（九）招商服务科。负责拟定全区招商引资年度目标计划， 参与研究制定全区吸引外来投资的相关政策;牵头组织招商联席会议，分析研究全区招商引资情况及有关动态，提出招商引资工作建议; 组织开展相关重大问题研究，开展对产业布局、产业链、技术链、投资战略、资源保障、工作机制的研究;负责牵头组织全区招商资源及相关信息的收集、统计、筛选和编制工作，建立招商信息平台;组织拟订全区投资促进、招商引资绩效考核评价和奖励办法，研究拟订年度招商引资指标体系，负责计划分解、任务落实和指标完成的督查推进、综合考核评价和奖惩工作。（十）招商推介科。负责牵头全区重大招商活动的组织、 协调和服务工作，衔接省市相关招商引资活动; 负责区域投资环境的宣传、推广，编制全区投资环境和重大产业项目的宣传推广材料; 负责全区投资促进网络平台的建设及运行维护;负责本部门因公出国（境）团组报批工作; 负责与境内外投资促进机构、商会、协会的沟通联络，推进合作招商成效;负责全区招商队伍的业务培训，负责制定业务培训计划，推进专业培 训、分级培训、精准培训;负责招商人才库建设。</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本部门无下属单位。</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2022</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1</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南京市栖霞区商务局（本级）。</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2022</w:t>
      </w:r>
      <w:r>
        <w:rPr>
          <w:rFonts w:hint="eastAsia" w:ascii="仿宋" w:hAnsi="仿宋" w:eastAsia="仿宋" w:cs="仿宋"/>
          <w:b/>
          <w:bCs/>
        </w:rPr>
        <w:t>年度</w:t>
      </w:r>
      <w:r>
        <w:rPr>
          <w:rFonts w:ascii="仿宋" w:hAnsi="仿宋" w:cs="仿宋" w:eastAsia="仿宋"/>
          <w:b w:val="true"/>
        </w:rPr>
        <w:t>部门</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做好联企服务，积极培育开放型经济新增长点。强化市区街三级联动机制，锁定进出口1000万元以上重点外贸企业以及100万美元以上服贸企业，设区、街道两级联企服务员，开展“点对点”精准服务，加强生产经营运行监测，稳住龙头企业。提升政策服务效率，用足用好各项财税金融政策扶持区内企业发展。培育新增长点，以八卦洲跨境电商产业园获评省级跨境电商产业园为契机，推动跨境电商产业集聚。依托高新区，推动生物医药类企业发展。紧抓生物医药发展机遇期，在生物医药研发、防疫物资等行业形成外贸及服贸增长极。</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是强化龙头企业服务，以消费促进带动社零增长。准确把握企业动向，每月跟踪全区零售排名前30的重点企业，对降幅较大的限上企业做好运行监控，关注60家限下样本企业经营，优化限下样本企业。发挥政策导向作用，增强企业入统的积极性，联合统计、税务部门共同摸排限上法人单位，做到月度新增和年度新增齐发力，确保限上单位数量逐年增加。持续开展促销活动，推动重点商贸企业搞好“购物季”等有针对性的促销活动，鼓励企业延伸服务时段，线上线下齐发力。</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是发挥三区招商合力，创新招商方式力求突破。持续完善招商“四库”建设，推动项目需求和要素资源的精确匹配。加强招商项目前期的跨部门协同论证，对重大招商项目在技术、市场、商业模式等方面进行综合评估，注重提升政策集成度，在重点产业领域内体现出竞争力。强化资本招商，加强各类投资机构的对接，通过以投代招等多种模式，推动资本与产业协同发展。</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南京市栖霞区商务局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cs="仿宋" w:eastAsia="仿宋"/>
          <w:b w:val="true"/>
          <w:sz w:val="44"/>
        </w:rPr>
        <w:t>预算表</w:t>
      </w:r>
    </w:p>
    <w:tbl>
      <w:tblPr>
        <w:tblStyle w:val="12"/>
        <w:tblW w:w="11331" w:type="dxa"/>
        <w:jc w:val="center"/>
        <w:tblLayout w:type="fixed"/>
        <w:tblCellMar>
          <w:top w:w="0" w:type="dxa"/>
          <w:left w:w="108" w:type="dxa"/>
          <w:bottom w:w="0" w:type="dxa"/>
          <w:right w:w="108" w:type="dxa"/>
        </w:tblCellMar>
      </w:tblPr>
      <w:tblGrid>
        <w:gridCol w:w="3908"/>
        <w:gridCol w:w="1869"/>
        <w:gridCol w:w="3704"/>
        <w:gridCol w:w="67"/>
        <w:gridCol w:w="1781"/>
        <w:gridCol w:w="2"/>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color w:val="000000"/>
                <w:sz w:val="22"/>
                <w:szCs w:val="22"/>
                <w:lang w:eastAsia="ar-SA"/>
              </w:rPr>
              <w:t>南京市栖霞区商务局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3,844.36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3,502.03</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342.33</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3,844.36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3,844.36</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val="zh-CN" w:eastAsia="ar-SA"/>
              </w:rPr>
            </w:pPr>
            <w:r>
              <w:rPr>
                <w:rFonts w:hint="eastAsia" w:ascii="仿宋" w:hAnsi="仿宋" w:eastAsia="仿宋" w:cs="仿宋"/>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3,844.36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支出</w:t>
            </w:r>
            <w:r>
              <w:rPr>
                <w:rFonts w:hint="eastAsia" w:ascii="仿宋" w:hAnsi="仿宋" w:eastAsia="仿宋" w:cs="仿宋"/>
                <w:b/>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3,844.36</w:t>
            </w:r>
          </w:p>
        </w:tc>
        <w:tc>
          <w:tcPr>
            <w:tcW w:w="2" w:type="dxa"/>
          </w:tcPr>
          <w:p>
            <w:pPr>
              <w:widowControl w:val="0"/>
              <w:jc w:val="left"/>
              <w:rPr>
                <w:rFonts w:hint="eastAsia" w:ascii="仿宋" w:hAnsi="仿宋" w:eastAsia="仿宋" w:cs="仿宋"/>
                <w:sz w:val="20"/>
              </w:rPr>
            </w:pP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149" w:type="dxa"/>
        <w:tblInd w:w="-25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097"/>
        <w:gridCol w:w="1800"/>
        <w:gridCol w:w="1063"/>
        <w:gridCol w:w="943"/>
        <w:gridCol w:w="789"/>
        <w:gridCol w:w="754"/>
        <w:gridCol w:w="686"/>
        <w:gridCol w:w="754"/>
        <w:gridCol w:w="754"/>
        <w:gridCol w:w="720"/>
        <w:gridCol w:w="754"/>
        <w:gridCol w:w="738"/>
        <w:gridCol w:w="720"/>
        <w:gridCol w:w="925"/>
        <w:gridCol w:w="772"/>
        <w:gridCol w:w="720"/>
        <w:gridCol w:w="754"/>
        <w:gridCol w:w="686"/>
        <w:gridCol w:w="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572"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南京市栖霞区商务局</w:t>
            </w:r>
          </w:p>
        </w:tc>
        <w:tc>
          <w:tcPr>
            <w:tcW w:w="4577"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97"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1063"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7612"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577"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1097"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063"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897"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3,844.36</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3,844.36</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3,844.36</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366</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南京市栖霞区商务局</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3,844.36</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3,844.36</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3,844.36</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366001</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南京市栖霞区商务局（机关）</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3,844.36</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3,844.36</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3,844.36</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57" w:right="0" w:firstLine="221" w:firstLineChars="100"/>
        <w:jc w:val="left"/>
        <w:rPr>
          <w:rFonts w:hint="eastAsia" w:ascii="仿宋" w:hAnsi="仿宋" w:eastAsia="仿宋" w:cs="仿宋"/>
          <w:b/>
          <w:bCs/>
          <w:sz w:val="22"/>
          <w:szCs w:val="22"/>
        </w:rPr>
        <w:sectPr>
          <w:footerReference r:id="rId9" w:type="default"/>
          <w:pgSz w:w="16838" w:h="11906" w:orient="landscape"/>
          <w:pgMar w:top="720" w:right="720" w:bottom="720" w:left="5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南京市栖霞区商务局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3,844.36</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1,051.36</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2,793.00</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3,502.03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709.03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2,793.00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20113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商贸事务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3,487.03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709.03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2,778.00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2011301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709.03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709.03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2011308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招商引资</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2,578.00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2,578.00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2011399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其他商贸事务支出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2019999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342.33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342.33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342.33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342.33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108.10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108.10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234.23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234.23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南京市栖霞区商务局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3,844.36</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3,844.36</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3,844.36</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3,502.03</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342.33</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3,844.36</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3,844.36</w:t>
            </w:r>
          </w:p>
        </w:tc>
      </w:tr>
    </w:tbl>
    <w:p>
      <w:pPr>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南京市栖霞区商务局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3,844.36</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1,051.36</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990.25</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61.11</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2,793.00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3,502.03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709.03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647.92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61.11</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2,793.00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20113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商贸事务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3,487.03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709.03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647.92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61.11</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2,778.00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2011301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709.03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709.03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647.92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61.11</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2011308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招商引资</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2,578.00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2,578.00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2011399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其他商贸事务支出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2019999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342.33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342.33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342.33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342.33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342.33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342.33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108.10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108.10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108.10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234.23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234.23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234.23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南京市栖霞区商务局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1,051.36</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990.25</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61.11</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931.84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931.84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130.73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130.73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460.51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460.51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42.60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29.38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29.38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108.10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108.10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61.11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61.11</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6.71</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19.98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19.98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51.26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51.26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46.48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46.48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南京市栖霞区商务局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3,844.36</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1,051.36</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990.25</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61.11</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2,793.00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3,502.03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709.03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647.92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61.11</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2,793.00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20113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商贸事务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3,487.03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709.03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647.92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61.11</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2,778.00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2011301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709.03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709.03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647.92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61.11</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2011308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招商引资</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2,578.00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2,578.00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2011399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其他商贸事务支出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2019999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342.33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342.33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342.33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342.33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342.33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342.33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108.10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108.10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108.10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234.23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234.23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234.23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南京市栖霞区商务局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1,051.36</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990.25</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61.11</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931.84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931.84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130.73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130.73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460.51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460.51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42.60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29.38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29.38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108.10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108.10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61.11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61.11</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6.71</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19.98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19.98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51.26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51.26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46.48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46.48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南京市栖霞区商务局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6.71</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6.71</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南京市栖霞区商务局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部门</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南京市栖霞区商务局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部门</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南京市栖霞区商务局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61.11</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61.11</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邮电费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6.71</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8.40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19.98</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7.02</w:t>
            </w:r>
          </w:p>
        </w:tc>
      </w:tr>
    </w:tbl>
    <w:p>
      <w:pPr>
        <w:numPr>
          <w:ilvl w:val="0"/>
          <w:numId w:val="0"/>
        </w:numPr>
        <w:tabs>
          <w:tab w:val="left" w:pos="0"/>
        </w:tabs>
        <w:spacing w:before="25" w:after="0"/>
        <w:ind w:left="-1" w:left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1320"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0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852"/>
        <w:gridCol w:w="1114"/>
        <w:gridCol w:w="965"/>
        <w:gridCol w:w="928"/>
        <w:gridCol w:w="1141"/>
        <w:gridCol w:w="1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586"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南京市栖霞区商务局</w:t>
            </w:r>
          </w:p>
        </w:tc>
        <w:tc>
          <w:tcPr>
            <w:tcW w:w="414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355"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85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14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355"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355"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货物类</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南京市栖霞区商务局（机关）</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2.25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便携式计算机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复印机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0.26</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多功能一体机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1.40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其他文印设备</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1.08</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碎纸机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0.40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其他办公设备</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其他台、桌类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0.56</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其他椅凳类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0.70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其他柜类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1.35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1.35</w:t>
            </w:r>
          </w:p>
        </w:tc>
      </w:tr>
    </w:tbl>
    <w:p>
      <w:pPr>
        <w:bidi w:val="0"/>
        <w:rPr>
          <w:rFonts w:hint="eastAsia" w:ascii="仿宋" w:hAnsi="仿宋" w:eastAsia="仿宋" w:cs="仿宋"/>
          <w:b/>
          <w:bCs/>
          <w:sz w:val="22"/>
          <w:szCs w:val="22"/>
        </w:rPr>
        <w:sectPr>
          <w:footerReference r:id="rId19" w:type="default"/>
          <w:pgSz w:w="16838" w:h="11906" w:orient="landscape"/>
          <w:pgMar w:top="1320" w:right="1100"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r>
        <w:rPr>
          <w:rFonts w:ascii="仿宋" w:hAnsi="仿宋" w:cs="仿宋" w:eastAsia="仿宋"/>
          <w:b w:val="true"/>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南京市栖霞区商务局2022年度收入、支出预算总计3,844.36万元，与上年相比收、支预算总计各增加197.89万元，增长5.43%。</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（一）收入预算总计3,844.36万元。包括：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1．本年收入合计3,844.36万元。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（1）一般公共预算拨款收入3,844.36万元，与上年相比增加197.89万元，增长5.43%。主要原因是增加社零专项资金、人员调整。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（二）支出预算总计3,844.36万元。包括：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1．本年支出合计3,844.36万元。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服务支出（类）支出3,502.03万元，主要用于行政运行、招商引资、商贸事务支出等。与上年相比增加2,399.81万元，增长217.73%。主要原因是用于供销社下属单位补助资金纳入一般公共服务支出，社零专项资金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（2）住房保障支出（类）支出342.33万元，主要用于公积金和住房补贴支出。与上年相比减少1.92万元，减少0.56%。主要原因是人员减少。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南京市栖霞区商务局2022年收入预算合计3,844.36万元，包括本年收入3,844.36万元，上年结转结余0万元。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本年一般公共预算收入3,844.36万元，占100%；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南京市栖霞区商务局2022年支出预算合计3,844.36万元，其中：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基本支出1,051.36万元，占27.35%；</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项目支出2,793万元，占72.65%；</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南京市栖霞区商务局2022年度财政拨款收、支总预算3,844.36万元。与上年相比，财政拨款收、支总计各增加197.89万元，增长5.43%。主要原因是增加社零专项资金、人员调整。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南京市栖霞区商务局2022年财政拨款预算支出3,844.36万元，占本年支出合计的100%。与上年相比，财政拨款支出增加197.89万元，增长5.43%。主要原因是增加社零专项资金、人员调整。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（一）一般公共服务支出（类）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1.商贸事务（款）行政运行（项）支出709.03万元，与上年相比减少130.19万元，减少15.51%。主要原因是科目调整，将行政运行经费并入招商引资运转经费。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2.商贸事务（款）招商引资（项）支出2,578万元，与上年相比增加2,330万元，增长939.52%。主要原因是科目调整，行政运行、供销社商务系统及下属单位补助等经费纳入招商引资运转经费。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3.商贸事务（款）其他商贸事务支出（项）支出200万元，与上年相比增加185万元，增长1,233.33%。主要原因是通用设备采购科目调整，新增社零专项奖励资金。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4.其他一般公共服务支出（款）其他一般公共服务支出（项）支出15万元，与上年相比增加15万元（去年预算数为0万元，无法计算增减比率）。主要原因是科目调整，通用设备采购科目纳入本科目。</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1.住房改革支出（款）住房公积金（项）支出108.1万元，与上年相比减少0.61万元，减少0.56%。主要原因是住房公积金等政策性调整及退休人员增加。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2.住房改革支出（款）购房补贴（项）支出234.23万元，与上年相比减少1.31万元，减少0.56%。主要原因是购房补贴等政策性调整。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南京市栖霞区商务局2022年度财政拨款基本支出预算1,051.36万元，其中：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990.25万元。主要包括：基本工资、津贴补贴、奖金、伙食补助费、绩效工资、机关事业单位基本养老保险缴费、职业年金缴费、职工基本医疗保险缴费、其他社会保障缴费、住房公积金、其他工资福利支出、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（二）公用经费61.11万元。主要包括：办公费、邮电费、差旅费、会议费、培训费、公务接待费、工会经费、其他交通费用、其他商品和服务支出。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南京市栖霞区商务局2022年一般公共预算财政拨款支出预算3,844.36万元，与上年相比增加197.89万元，增长5.43%。主要原因是增加社零专项资金、人员调整。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南京市栖霞区商务局2022年度一般公共预算财政拨款基本支出预算1,051.36万元，其中：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990.25万元。主要包括：基本工资、津贴补贴、奖金、伙食补助费、绩效工资、机关事业单位基本养老保险缴费、职业年金缴费、职工基本医疗保险缴费、其他社会保障缴费、住房公积金、其他工资福利支出、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（二）公用经费61.11万元。主要包括：办公费、邮电费、差旅费、会议费、培训费、公务接待费、工会经费、其他交通费用、其他商品和服务支出。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商务局2022年度一般公共预算拨款安排的“三公”经费预算支出中，因公出国（境）费支出0万元，占“三公”经费的0%；公务用车购置及运行维护费支出0万元，占“三公”经费的0%；公务接待费支出6.71万元，占“三公”经费的100%。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1．因公出国（境）费预算支出0万元，比上年预算减少30万元，主要原因是因公出国（境）预算实行区级总量控制，疫情原因无法出国。</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2．公务用车购置及运行维护费预算支出0万元。其中：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3．公务接待费预算支出6.71万元，比上年预算减少7.07万元，主要原因是压缩“三公经费”，厉行节约，调整明细科目的费用分配比例，减少公务接待费用。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南京市栖霞区商务局2022年度一般公共预算拨款安排的会议费预算支出2.5万元，比上年预算减少10.54万元，主要原因是厉行节约，减少会议的次数，调整明细科目的费用分配比例，减少会议费支出。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南京市栖霞区商务局2022年度一般公共预算拨款安排的培训费预算支出2.5万元，比上年预算减少3.01万元，主要原因是压缩开支，厉行节约，调整明细科目的费用分配比例，减少培训费支出。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南京市栖霞区商务局2022年政府性基金支出预算支出0万元。与上年预算数相同。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南京市栖霞区商务局2022年国有资本经营预算支出0万元。与上年预算数相同。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2022年本部门一般公共预算机关运行经费预算支出61.11万元。与上年相比减少1.77万元，减少2.81%。主要原因是压缩开支，减少办公费、邮电费、差旅费、培训费、会议费、公务接待费、其他商品和服务支出等支出。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2022年度政府采购支出预算总额15万元，其中：拟采购货物支出15万元、拟采购工程支出0万元、拟购买服务支出0万元。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有车辆0辆，其中，一般公务用车0辆、执法执勤用车0辆、特种专业技术用车0辆、业务用车0辆、其他用车0辆等。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2022年度，本部门整体支出纳入绩效目标管理，涉及四本预算资金3,844.36万元；本部门共3个项目纳入绩效目标管理，涉及四本预算资金合计2,793万元，占四本预算资金(基本支出除外)总额的比例为100%。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八、一般公共服务支出(类)商贸事务(款)行政运行(项)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九、一般公共服务支出(类)商贸事务(款)招商引资(项)</w:t>
      </w:r>
      <w:r>
        <w:rPr>
          <w:rFonts w:ascii="仿宋" w:hAnsi="仿宋" w:cs="仿宋" w:eastAsia="仿宋"/>
          <w:b w:val="true"/>
        </w:rPr>
        <w:t>：</w:t>
      </w:r>
      <w:r>
        <w:rPr>
          <w:rFonts w:hint="eastAsia" w:ascii="仿宋" w:hAnsi="仿宋" w:eastAsia="仿宋" w:cs="仿宋"/>
        </w:rPr>
        <w:t>反映用于招商引资、优化经济环境等方面的支出。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十、一般公共服务支出(类)商贸事务(款)其他商贸事务支出(项)</w:t>
      </w:r>
      <w:r>
        <w:rPr>
          <w:rFonts w:ascii="仿宋" w:hAnsi="仿宋" w:cs="仿宋" w:eastAsia="仿宋"/>
          <w:b w:val="true"/>
        </w:rPr>
        <w:t>：</w:t>
      </w:r>
      <w:r>
        <w:rPr>
          <w:rFonts w:hint="eastAsia" w:ascii="仿宋" w:hAnsi="仿宋" w:eastAsia="仿宋" w:cs="仿宋"/>
        </w:rPr>
        <w:t>反映除上述项目以外其他用于商贸事务方面的支出。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十一、一般公共服务支出(类)其他一般公共服务支出(款)其他一般公共服务支出(项)</w:t>
      </w:r>
      <w:r>
        <w:rPr>
          <w:rFonts w:ascii="仿宋" w:hAnsi="仿宋" w:cs="仿宋" w:eastAsia="仿宋"/>
          <w:b w:val="true"/>
        </w:rPr>
        <w:t>：</w:t>
      </w:r>
      <w:r>
        <w:rPr>
          <w:rFonts w:hint="eastAsia" w:ascii="仿宋" w:hAnsi="仿宋" w:eastAsia="仿宋" w:cs="仿宋"/>
        </w:rPr>
        <w:t>反映除上述项目以外的其他一般公共服务支出。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9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南京市栖霞区商务局</w:t>
    </w:r>
    <w:r>
      <w:t>2022</w:t>
    </w:r>
    <w:r>
      <w:t>年度</w:t>
    </w:r>
    <w:r>
      <w:t>部门</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B339C"/>
    <w:rsid w:val="05FE3016"/>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201C61"/>
    <w:rsid w:val="10223EE6"/>
    <w:rsid w:val="1027035F"/>
    <w:rsid w:val="102A69EF"/>
    <w:rsid w:val="103D6600"/>
    <w:rsid w:val="10566122"/>
    <w:rsid w:val="106204CB"/>
    <w:rsid w:val="10A90FB7"/>
    <w:rsid w:val="10EE0376"/>
    <w:rsid w:val="10F05AC0"/>
    <w:rsid w:val="11037A82"/>
    <w:rsid w:val="1106739D"/>
    <w:rsid w:val="11092167"/>
    <w:rsid w:val="110C3973"/>
    <w:rsid w:val="110D47B0"/>
    <w:rsid w:val="11110225"/>
    <w:rsid w:val="111930E1"/>
    <w:rsid w:val="11252430"/>
    <w:rsid w:val="1143676B"/>
    <w:rsid w:val="11471791"/>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933F94"/>
    <w:rsid w:val="14A601B4"/>
    <w:rsid w:val="14AA0D30"/>
    <w:rsid w:val="14BA3B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63B76"/>
    <w:rsid w:val="1B394ECA"/>
    <w:rsid w:val="1B401513"/>
    <w:rsid w:val="1B6F2A95"/>
    <w:rsid w:val="1B7011A6"/>
    <w:rsid w:val="1B785235"/>
    <w:rsid w:val="1B792ACF"/>
    <w:rsid w:val="1B840862"/>
    <w:rsid w:val="1B894395"/>
    <w:rsid w:val="1BB55613"/>
    <w:rsid w:val="1BC50E0F"/>
    <w:rsid w:val="1BC6758D"/>
    <w:rsid w:val="1BC84BF9"/>
    <w:rsid w:val="1BCA1AE9"/>
    <w:rsid w:val="1BD968B0"/>
    <w:rsid w:val="1BE008E5"/>
    <w:rsid w:val="1BE426E0"/>
    <w:rsid w:val="1BEF5EDC"/>
    <w:rsid w:val="1BF3045F"/>
    <w:rsid w:val="1C0C63DC"/>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906641"/>
    <w:rsid w:val="1D93356C"/>
    <w:rsid w:val="1D951979"/>
    <w:rsid w:val="1DA8336C"/>
    <w:rsid w:val="1DAF110E"/>
    <w:rsid w:val="1DB61054"/>
    <w:rsid w:val="1DB87467"/>
    <w:rsid w:val="1DC94431"/>
    <w:rsid w:val="1DD028C9"/>
    <w:rsid w:val="1DF402E5"/>
    <w:rsid w:val="1E107489"/>
    <w:rsid w:val="1E120047"/>
    <w:rsid w:val="1E2456FC"/>
    <w:rsid w:val="1E2B042A"/>
    <w:rsid w:val="1E387717"/>
    <w:rsid w:val="1E4314E9"/>
    <w:rsid w:val="1E5227F5"/>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76D10"/>
    <w:rsid w:val="21866291"/>
    <w:rsid w:val="218F0CEB"/>
    <w:rsid w:val="218F78F2"/>
    <w:rsid w:val="21A55BAA"/>
    <w:rsid w:val="21D50133"/>
    <w:rsid w:val="21EA64FE"/>
    <w:rsid w:val="223D4452"/>
    <w:rsid w:val="223F0861"/>
    <w:rsid w:val="224F77DA"/>
    <w:rsid w:val="227347E3"/>
    <w:rsid w:val="227D4749"/>
    <w:rsid w:val="22812FB7"/>
    <w:rsid w:val="229E476C"/>
    <w:rsid w:val="22B66C67"/>
    <w:rsid w:val="22B96619"/>
    <w:rsid w:val="22C32A6D"/>
    <w:rsid w:val="22C9349D"/>
    <w:rsid w:val="22CF4CB9"/>
    <w:rsid w:val="22E5714F"/>
    <w:rsid w:val="22E640D2"/>
    <w:rsid w:val="22F9307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5628C1"/>
    <w:rsid w:val="2F5A61EE"/>
    <w:rsid w:val="2F6E6218"/>
    <w:rsid w:val="2F81781A"/>
    <w:rsid w:val="2FBA6AB0"/>
    <w:rsid w:val="2FDA5233"/>
    <w:rsid w:val="2FDC3277"/>
    <w:rsid w:val="30091058"/>
    <w:rsid w:val="30186987"/>
    <w:rsid w:val="302E6035"/>
    <w:rsid w:val="30396B3B"/>
    <w:rsid w:val="303B5C37"/>
    <w:rsid w:val="303D3D8D"/>
    <w:rsid w:val="30410449"/>
    <w:rsid w:val="304B34C7"/>
    <w:rsid w:val="304F51A4"/>
    <w:rsid w:val="30687159"/>
    <w:rsid w:val="306F3884"/>
    <w:rsid w:val="307953E8"/>
    <w:rsid w:val="30907ADE"/>
    <w:rsid w:val="30926BF6"/>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305658"/>
    <w:rsid w:val="3F4C1C29"/>
    <w:rsid w:val="3F545C32"/>
    <w:rsid w:val="3F8A3D39"/>
    <w:rsid w:val="3F8D0174"/>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501155"/>
    <w:rsid w:val="405229A9"/>
    <w:rsid w:val="405C35C7"/>
    <w:rsid w:val="407E4D25"/>
    <w:rsid w:val="409E45E2"/>
    <w:rsid w:val="40A52125"/>
    <w:rsid w:val="40B61FF8"/>
    <w:rsid w:val="40BB734D"/>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2125B2B"/>
    <w:rsid w:val="424D1C7F"/>
    <w:rsid w:val="425846A6"/>
    <w:rsid w:val="42624E34"/>
    <w:rsid w:val="427F218F"/>
    <w:rsid w:val="42840AD6"/>
    <w:rsid w:val="428B63CF"/>
    <w:rsid w:val="42911805"/>
    <w:rsid w:val="429A2964"/>
    <w:rsid w:val="42AF67D0"/>
    <w:rsid w:val="42BC0E70"/>
    <w:rsid w:val="42C245CE"/>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C5080"/>
    <w:rsid w:val="44233849"/>
    <w:rsid w:val="44633603"/>
    <w:rsid w:val="44680AA6"/>
    <w:rsid w:val="446B500C"/>
    <w:rsid w:val="446E17AC"/>
    <w:rsid w:val="448508DF"/>
    <w:rsid w:val="448D7707"/>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A030B"/>
    <w:rsid w:val="4C09252B"/>
    <w:rsid w:val="4C1713D3"/>
    <w:rsid w:val="4C3D55C6"/>
    <w:rsid w:val="4C427E43"/>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A653F2"/>
    <w:rsid w:val="4DCC74BE"/>
    <w:rsid w:val="4DE03AC2"/>
    <w:rsid w:val="4DEF02BD"/>
    <w:rsid w:val="4DF03991"/>
    <w:rsid w:val="4DF221E2"/>
    <w:rsid w:val="4E002256"/>
    <w:rsid w:val="4E0911A0"/>
    <w:rsid w:val="4E0D72D8"/>
    <w:rsid w:val="4E383ED6"/>
    <w:rsid w:val="4E5172B9"/>
    <w:rsid w:val="4E560D60"/>
    <w:rsid w:val="4E564593"/>
    <w:rsid w:val="4E5A2684"/>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AE7560"/>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D1BC3"/>
    <w:rsid w:val="51200E5F"/>
    <w:rsid w:val="5123009E"/>
    <w:rsid w:val="512548E9"/>
    <w:rsid w:val="512C2CA7"/>
    <w:rsid w:val="512D289E"/>
    <w:rsid w:val="514152FB"/>
    <w:rsid w:val="51434ED1"/>
    <w:rsid w:val="51606C08"/>
    <w:rsid w:val="516445A0"/>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700D3"/>
    <w:rsid w:val="53811681"/>
    <w:rsid w:val="538A520F"/>
    <w:rsid w:val="538C6CFB"/>
    <w:rsid w:val="53933E3F"/>
    <w:rsid w:val="53B418CC"/>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60214E"/>
    <w:rsid w:val="6071387E"/>
    <w:rsid w:val="607207D7"/>
    <w:rsid w:val="607A75EB"/>
    <w:rsid w:val="60932B78"/>
    <w:rsid w:val="60B1182C"/>
    <w:rsid w:val="60B54E5F"/>
    <w:rsid w:val="60D67EB5"/>
    <w:rsid w:val="60E72435"/>
    <w:rsid w:val="60F1240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F12BA4"/>
    <w:rsid w:val="61F1712C"/>
    <w:rsid w:val="61FC795F"/>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35457B"/>
    <w:rsid w:val="663743A7"/>
    <w:rsid w:val="663B78CC"/>
    <w:rsid w:val="664C4D93"/>
    <w:rsid w:val="66645598"/>
    <w:rsid w:val="66713242"/>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8057F"/>
    <w:rsid w:val="699906A2"/>
    <w:rsid w:val="69AC12C2"/>
    <w:rsid w:val="69C411D0"/>
    <w:rsid w:val="69C62FFA"/>
    <w:rsid w:val="69D86C6D"/>
    <w:rsid w:val="69FA48D7"/>
    <w:rsid w:val="6A0D6DC9"/>
    <w:rsid w:val="6A341444"/>
    <w:rsid w:val="6A4A19BA"/>
    <w:rsid w:val="6A564EBF"/>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997C25"/>
    <w:rsid w:val="6E9C165A"/>
    <w:rsid w:val="6E9F07E1"/>
    <w:rsid w:val="6EA14A30"/>
    <w:rsid w:val="6EB6105A"/>
    <w:rsid w:val="6EC46D49"/>
    <w:rsid w:val="6EC629FF"/>
    <w:rsid w:val="6EC7282F"/>
    <w:rsid w:val="6ECA6C00"/>
    <w:rsid w:val="6F1C104C"/>
    <w:rsid w:val="6F26499B"/>
    <w:rsid w:val="6F2D024C"/>
    <w:rsid w:val="6F2D277B"/>
    <w:rsid w:val="6F2F3282"/>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73431"/>
    <w:rsid w:val="703C1CAA"/>
    <w:rsid w:val="703E1108"/>
    <w:rsid w:val="704B7EBD"/>
    <w:rsid w:val="7051053C"/>
    <w:rsid w:val="707F7FC1"/>
    <w:rsid w:val="70830694"/>
    <w:rsid w:val="7092075C"/>
    <w:rsid w:val="70A16710"/>
    <w:rsid w:val="70AF49AD"/>
    <w:rsid w:val="70CC6CCD"/>
    <w:rsid w:val="70E234A9"/>
    <w:rsid w:val="70E51433"/>
    <w:rsid w:val="71081951"/>
    <w:rsid w:val="710C10AD"/>
    <w:rsid w:val="71195FA1"/>
    <w:rsid w:val="711F23C1"/>
    <w:rsid w:val="71252C8F"/>
    <w:rsid w:val="712D7A96"/>
    <w:rsid w:val="71334F8E"/>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855EB9"/>
    <w:rsid w:val="7692691E"/>
    <w:rsid w:val="76996365"/>
    <w:rsid w:val="769A10D0"/>
    <w:rsid w:val="76C2349E"/>
    <w:rsid w:val="76CB35EC"/>
    <w:rsid w:val="76D054CE"/>
    <w:rsid w:val="76D10C55"/>
    <w:rsid w:val="76D276DD"/>
    <w:rsid w:val="76D85DAB"/>
    <w:rsid w:val="76EA2D88"/>
    <w:rsid w:val="76FC5ECA"/>
    <w:rsid w:val="77040C67"/>
    <w:rsid w:val="773B587C"/>
    <w:rsid w:val="773F6299"/>
    <w:rsid w:val="77416C82"/>
    <w:rsid w:val="774271F2"/>
    <w:rsid w:val="77453760"/>
    <w:rsid w:val="77473689"/>
    <w:rsid w:val="77653D55"/>
    <w:rsid w:val="776A7D9F"/>
    <w:rsid w:val="77734AD9"/>
    <w:rsid w:val="77767106"/>
    <w:rsid w:val="77786FD4"/>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8603E2"/>
    <w:rsid w:val="7D9B3D45"/>
    <w:rsid w:val="7D9C553A"/>
    <w:rsid w:val="7DBB346B"/>
    <w:rsid w:val="7DD0508B"/>
    <w:rsid w:val="7DE4119D"/>
    <w:rsid w:val="7DEE5B58"/>
    <w:rsid w:val="7DEF4E30"/>
    <w:rsid w:val="7E0B1390"/>
    <w:rsid w:val="7E2B13AE"/>
    <w:rsid w:val="7E676A56"/>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3386</Words>
  <Characters>7333</Characters>
  <Paragraphs>501</Paragraphs>
  <TotalTime>48</TotalTime>
  <ScaleCrop>false</ScaleCrop>
  <LinksUpToDate>false</LinksUpToDate>
  <CharactersWithSpaces>7399</CharactersWithSpaces>
  <Application>WPS Office_11.1.0.11294_F1E327BC-269C-435d-A152-05C5408002CA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有光的地方</cp:lastModifiedBy>
  <dcterms:modified xsi:type="dcterms:W3CDTF">2022-02-09T14:56:23Z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2052-11.1.0.11294</vt:lpwstr>
  </property>
  <property fmtid="{D5CDD505-2E9C-101B-9397-08002B2CF9AE}" pid="6" name="LastSaved">
    <vt:filetime>2021-04-15T00:00:00Z</vt:filetime>
  </property>
</Properties>
</file>