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2791D">
      <w:pPr>
        <w:spacing w:line="570" w:lineRule="exact"/>
        <w:ind w:right="66"/>
        <w:jc w:val="left"/>
        <w:rPr>
          <w:rFonts w:hint="eastAsia" w:ascii="Times New Roman" w:hAnsi="Times New Roman" w:eastAsia="方正小标宋_GBK"/>
          <w:sz w:val="32"/>
          <w:szCs w:val="32"/>
          <w:lang w:eastAsia="zh-CN"/>
        </w:rPr>
      </w:pPr>
      <w:r>
        <w:rPr>
          <w:rFonts w:hint="eastAsia" w:eastAsia="方正小标宋_GBK"/>
          <w:sz w:val="32"/>
          <w:szCs w:val="32"/>
          <w:lang w:eastAsia="zh-CN"/>
        </w:rPr>
        <w:t>附件：</w:t>
      </w:r>
    </w:p>
    <w:p w14:paraId="09C68E53">
      <w:pPr>
        <w:spacing w:line="570" w:lineRule="exact"/>
        <w:ind w:right="66"/>
        <w:jc w:val="center"/>
        <w:rPr>
          <w:rFonts w:hint="default" w:ascii="Times New Roman" w:hAnsi="Times New Roman" w:eastAsia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/>
          <w:sz w:val="44"/>
          <w:szCs w:val="44"/>
        </w:rPr>
        <w:t>《江苏省城市市容和环境卫生管理条例》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摊点疏导点信息</w:t>
      </w:r>
    </w:p>
    <w:bookmarkEnd w:id="0"/>
    <w:p w14:paraId="2FA03860">
      <w:pPr>
        <w:spacing w:line="570" w:lineRule="exact"/>
        <w:ind w:right="66"/>
        <w:jc w:val="center"/>
        <w:rPr>
          <w:rFonts w:hint="eastAsia" w:ascii="Times New Roman" w:hAnsi="Times New Roman" w:eastAsia="方正小标宋_GBK"/>
          <w:sz w:val="44"/>
          <w:szCs w:val="44"/>
        </w:rPr>
      </w:pPr>
    </w:p>
    <w:tbl>
      <w:tblPr>
        <w:tblStyle w:val="2"/>
        <w:tblW w:w="12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452"/>
        <w:gridCol w:w="1695"/>
        <w:gridCol w:w="1931"/>
        <w:gridCol w:w="1591"/>
        <w:gridCol w:w="1715"/>
        <w:gridCol w:w="1467"/>
        <w:gridCol w:w="1876"/>
      </w:tblGrid>
      <w:tr w14:paraId="14EF7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887" w:type="dxa"/>
            <w:noWrap w:val="0"/>
            <w:vAlign w:val="center"/>
          </w:tcPr>
          <w:p w14:paraId="5605453F">
            <w:pPr>
              <w:spacing w:line="280" w:lineRule="exact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序号</w:t>
            </w:r>
          </w:p>
        </w:tc>
        <w:tc>
          <w:tcPr>
            <w:tcW w:w="1452" w:type="dxa"/>
            <w:noWrap w:val="0"/>
            <w:vAlign w:val="center"/>
          </w:tcPr>
          <w:p w14:paraId="1C934BC0">
            <w:pPr>
              <w:spacing w:line="280" w:lineRule="exact"/>
              <w:jc w:val="center"/>
              <w:rPr>
                <w:rFonts w:hint="eastAsia" w:ascii="Times New Roman" w:hAnsi="Times New Roman" w:eastAsia="方正黑体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  <w:lang w:val="en-US" w:eastAsia="zh-CN"/>
              </w:rPr>
              <w:t>区  属</w:t>
            </w:r>
          </w:p>
        </w:tc>
        <w:tc>
          <w:tcPr>
            <w:tcW w:w="1695" w:type="dxa"/>
            <w:noWrap w:val="0"/>
            <w:vAlign w:val="center"/>
          </w:tcPr>
          <w:p w14:paraId="6E3DD1BE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地  址</w:t>
            </w:r>
          </w:p>
        </w:tc>
        <w:tc>
          <w:tcPr>
            <w:tcW w:w="1931" w:type="dxa"/>
            <w:noWrap w:val="0"/>
            <w:vAlign w:val="center"/>
          </w:tcPr>
          <w:p w14:paraId="28E0474C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经营区域</w:t>
            </w:r>
          </w:p>
        </w:tc>
        <w:tc>
          <w:tcPr>
            <w:tcW w:w="1591" w:type="dxa"/>
            <w:noWrap w:val="0"/>
            <w:vAlign w:val="center"/>
          </w:tcPr>
          <w:p w14:paraId="5A3F02D7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经营时间</w:t>
            </w:r>
          </w:p>
        </w:tc>
        <w:tc>
          <w:tcPr>
            <w:tcW w:w="1715" w:type="dxa"/>
            <w:noWrap w:val="0"/>
            <w:vAlign w:val="center"/>
          </w:tcPr>
          <w:p w14:paraId="58EBBA8B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经营范围</w:t>
            </w:r>
          </w:p>
        </w:tc>
        <w:tc>
          <w:tcPr>
            <w:tcW w:w="1467" w:type="dxa"/>
            <w:noWrap w:val="0"/>
            <w:vAlign w:val="center"/>
          </w:tcPr>
          <w:p w14:paraId="4EB84DD0"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管理责任人</w:t>
            </w:r>
          </w:p>
        </w:tc>
        <w:tc>
          <w:tcPr>
            <w:tcW w:w="1876" w:type="dxa"/>
            <w:noWrap w:val="0"/>
            <w:vAlign w:val="center"/>
          </w:tcPr>
          <w:p w14:paraId="5ABFEE03">
            <w:pPr>
              <w:spacing w:line="280" w:lineRule="exact"/>
              <w:jc w:val="center"/>
              <w:rPr>
                <w:rFonts w:hint="default" w:ascii="Times New Roman" w:hAnsi="Times New Roman" w:eastAsia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57CF2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09FD6C60">
            <w:pPr>
              <w:spacing w:line="280" w:lineRule="exact"/>
              <w:jc w:val="center"/>
              <w:rPr>
                <w:rFonts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52" w:type="dxa"/>
            <w:noWrap w:val="0"/>
            <w:vAlign w:val="center"/>
          </w:tcPr>
          <w:p w14:paraId="661C9D4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  <w:t>栖霞区</w:t>
            </w:r>
          </w:p>
        </w:tc>
        <w:tc>
          <w:tcPr>
            <w:tcW w:w="1695" w:type="dxa"/>
            <w:noWrap w:val="0"/>
            <w:vAlign w:val="center"/>
          </w:tcPr>
          <w:p w14:paraId="7E6E7DC2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迈皋桥街道</w:t>
            </w:r>
          </w:p>
        </w:tc>
        <w:tc>
          <w:tcPr>
            <w:tcW w:w="1931" w:type="dxa"/>
            <w:noWrap w:val="0"/>
            <w:vAlign w:val="center"/>
          </w:tcPr>
          <w:p w14:paraId="5BE49CCB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万谷慧</w:t>
            </w: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生活广场</w:t>
            </w:r>
          </w:p>
        </w:tc>
        <w:tc>
          <w:tcPr>
            <w:tcW w:w="1591" w:type="dxa"/>
            <w:noWrap w:val="0"/>
            <w:vAlign w:val="center"/>
          </w:tcPr>
          <w:p w14:paraId="1FB30F06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10：00—24:00</w:t>
            </w:r>
          </w:p>
        </w:tc>
        <w:tc>
          <w:tcPr>
            <w:tcW w:w="1715" w:type="dxa"/>
            <w:noWrap w:val="0"/>
            <w:vAlign w:val="center"/>
          </w:tcPr>
          <w:p w14:paraId="75A095A7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百货、餐饮（无明火）</w:t>
            </w:r>
          </w:p>
        </w:tc>
        <w:tc>
          <w:tcPr>
            <w:tcW w:w="1467" w:type="dxa"/>
            <w:noWrap w:val="0"/>
            <w:vAlign w:val="center"/>
          </w:tcPr>
          <w:p w14:paraId="13F7FE86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王志玉</w:t>
            </w:r>
          </w:p>
        </w:tc>
        <w:tc>
          <w:tcPr>
            <w:tcW w:w="1876" w:type="dxa"/>
            <w:noWrap w:val="0"/>
            <w:vAlign w:val="center"/>
          </w:tcPr>
          <w:p w14:paraId="60C5954E">
            <w:pPr>
              <w:spacing w:line="280" w:lineRule="exact"/>
              <w:jc w:val="center"/>
              <w:rPr>
                <w:rFonts w:hint="default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15062277808</w:t>
            </w:r>
          </w:p>
        </w:tc>
      </w:tr>
      <w:tr w14:paraId="014F3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21AC4295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52" w:type="dxa"/>
            <w:noWrap w:val="0"/>
            <w:vAlign w:val="center"/>
          </w:tcPr>
          <w:p w14:paraId="39647C22"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  <w:t>栖霞区</w:t>
            </w:r>
          </w:p>
        </w:tc>
        <w:tc>
          <w:tcPr>
            <w:tcW w:w="1695" w:type="dxa"/>
            <w:noWrap w:val="0"/>
            <w:vAlign w:val="center"/>
          </w:tcPr>
          <w:p w14:paraId="2A5BDD2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西岗街道</w:t>
            </w:r>
          </w:p>
        </w:tc>
        <w:tc>
          <w:tcPr>
            <w:tcW w:w="1931" w:type="dxa"/>
            <w:noWrap w:val="0"/>
            <w:vAlign w:val="center"/>
          </w:tcPr>
          <w:p w14:paraId="796C9366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  <w:t>学森路</w:t>
            </w: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9号仙林湖社区广场</w:t>
            </w:r>
          </w:p>
        </w:tc>
        <w:tc>
          <w:tcPr>
            <w:tcW w:w="1591" w:type="dxa"/>
            <w:noWrap w:val="0"/>
            <w:vAlign w:val="center"/>
          </w:tcPr>
          <w:p w14:paraId="46CFD24C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18：00—24:00</w:t>
            </w:r>
          </w:p>
        </w:tc>
        <w:tc>
          <w:tcPr>
            <w:tcW w:w="1715" w:type="dxa"/>
            <w:noWrap w:val="0"/>
            <w:vAlign w:val="center"/>
          </w:tcPr>
          <w:p w14:paraId="58D87705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小百货、餐饮</w:t>
            </w:r>
          </w:p>
        </w:tc>
        <w:tc>
          <w:tcPr>
            <w:tcW w:w="1467" w:type="dxa"/>
            <w:noWrap w:val="0"/>
            <w:vAlign w:val="center"/>
          </w:tcPr>
          <w:p w14:paraId="00CFC8B5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王浩</w:t>
            </w:r>
          </w:p>
        </w:tc>
        <w:tc>
          <w:tcPr>
            <w:tcW w:w="1876" w:type="dxa"/>
            <w:noWrap w:val="0"/>
            <w:vAlign w:val="center"/>
          </w:tcPr>
          <w:p w14:paraId="646F043B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15105146139</w:t>
            </w:r>
          </w:p>
        </w:tc>
      </w:tr>
      <w:tr w14:paraId="0F255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36EAA474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452" w:type="dxa"/>
            <w:noWrap w:val="0"/>
            <w:vAlign w:val="center"/>
          </w:tcPr>
          <w:p w14:paraId="49C0013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236D5C5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6C201B5D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542E9C3C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336EE25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57803592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0A67E845">
            <w:pPr>
              <w:spacing w:line="280" w:lineRule="exact"/>
              <w:jc w:val="center"/>
              <w:rPr>
                <w:rFonts w:hint="default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  <w:tr w14:paraId="34B6F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887" w:type="dxa"/>
            <w:noWrap w:val="0"/>
            <w:vAlign w:val="center"/>
          </w:tcPr>
          <w:p w14:paraId="5B0D3CBF">
            <w:pPr>
              <w:spacing w:line="280" w:lineRule="exact"/>
              <w:jc w:val="center"/>
              <w:rPr>
                <w:rFonts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52" w:type="dxa"/>
            <w:noWrap w:val="0"/>
            <w:vAlign w:val="center"/>
          </w:tcPr>
          <w:p w14:paraId="662E8B8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8BDDC68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59C6BEA6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788D2C70">
            <w:pPr>
              <w:spacing w:line="280" w:lineRule="exact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6273D468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7212C58F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5C934D8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</w:p>
        </w:tc>
      </w:tr>
      <w:tr w14:paraId="6D8D9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4CA9F7D3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452" w:type="dxa"/>
            <w:noWrap w:val="0"/>
            <w:vAlign w:val="center"/>
          </w:tcPr>
          <w:p w14:paraId="785FDE3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17D04A0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1DD59A73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4E8FB1E9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104986A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3065E940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469D611F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2D39C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56C6BD41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452" w:type="dxa"/>
            <w:noWrap w:val="0"/>
            <w:vAlign w:val="center"/>
          </w:tcPr>
          <w:p w14:paraId="58BA0EF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E33C239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4E2B466F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63A4692B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291F61F7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4B2BCA76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63A6CA25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52896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53A32566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452" w:type="dxa"/>
            <w:noWrap w:val="0"/>
            <w:vAlign w:val="center"/>
          </w:tcPr>
          <w:p w14:paraId="493BDAF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CFC1E01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2C808E2B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168AB39A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433857B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43AC929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5D464819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1E0E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87" w:type="dxa"/>
            <w:noWrap w:val="0"/>
            <w:vAlign w:val="center"/>
          </w:tcPr>
          <w:p w14:paraId="693351C9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452" w:type="dxa"/>
            <w:noWrap w:val="0"/>
            <w:vAlign w:val="center"/>
          </w:tcPr>
          <w:p w14:paraId="3E9D2A4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34B167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67F7D55B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7B1E7A32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04C10183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4E7D958B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55FCED47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14712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49F869E0">
            <w:pPr>
              <w:spacing w:line="280" w:lineRule="exact"/>
              <w:jc w:val="center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452" w:type="dxa"/>
            <w:noWrap w:val="0"/>
            <w:vAlign w:val="center"/>
          </w:tcPr>
          <w:p w14:paraId="1784C05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3C020BBE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451A9480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5FCCB66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3D850CB2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4BCB9885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5AF62E95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28B87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87" w:type="dxa"/>
            <w:noWrap w:val="0"/>
            <w:vAlign w:val="center"/>
          </w:tcPr>
          <w:p w14:paraId="5D6C4548">
            <w:pPr>
              <w:spacing w:line="280" w:lineRule="exact"/>
              <w:jc w:val="center"/>
              <w:rPr>
                <w:rFonts w:hint="default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452" w:type="dxa"/>
            <w:noWrap w:val="0"/>
            <w:vAlign w:val="center"/>
          </w:tcPr>
          <w:p w14:paraId="6076A05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8FD9F06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31" w:type="dxa"/>
            <w:noWrap w:val="0"/>
            <w:vAlign w:val="center"/>
          </w:tcPr>
          <w:p w14:paraId="43E6F46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1" w:type="dxa"/>
            <w:noWrap w:val="0"/>
            <w:vAlign w:val="center"/>
          </w:tcPr>
          <w:p w14:paraId="644569CC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5" w:type="dxa"/>
            <w:noWrap w:val="0"/>
            <w:vAlign w:val="center"/>
          </w:tcPr>
          <w:p w14:paraId="706DDAD2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20E89077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76" w:type="dxa"/>
            <w:noWrap w:val="0"/>
            <w:vAlign w:val="center"/>
          </w:tcPr>
          <w:p w14:paraId="37449E13">
            <w:pPr>
              <w:spacing w:line="280" w:lineRule="exac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</w:rPr>
            </w:pPr>
          </w:p>
        </w:tc>
      </w:tr>
      <w:tr w14:paraId="0AB3E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87" w:type="dxa"/>
            <w:noWrap w:val="0"/>
            <w:vAlign w:val="center"/>
          </w:tcPr>
          <w:p w14:paraId="21602D43">
            <w:pPr>
              <w:spacing w:line="280" w:lineRule="exact"/>
              <w:jc w:val="center"/>
              <w:rPr>
                <w:rFonts w:hint="eastAsia" w:ascii="Times New Roman" w:hAnsi="Times New Roman" w:eastAsia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  <w:lang w:val="en-US" w:eastAsia="zh-CN"/>
              </w:rPr>
              <w:t>说明</w:t>
            </w:r>
          </w:p>
        </w:tc>
        <w:tc>
          <w:tcPr>
            <w:tcW w:w="11727" w:type="dxa"/>
            <w:gridSpan w:val="7"/>
            <w:noWrap w:val="0"/>
            <w:vAlign w:val="center"/>
          </w:tcPr>
          <w:p w14:paraId="7EA273D4">
            <w:pPr>
              <w:spacing w:line="280" w:lineRule="exact"/>
              <w:jc w:val="left"/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1、</w:t>
            </w: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结合本区实际划定经营区域、明确经营时间和范围，确定管理责任人。</w:t>
            </w:r>
          </w:p>
          <w:p w14:paraId="50831565">
            <w:pPr>
              <w:spacing w:line="280" w:lineRule="exact"/>
              <w:jc w:val="left"/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  <w:t>2、各疏导摊点群要严格按照相关管理办法及方案加强管理，确保安全、有序、规范。</w:t>
            </w:r>
          </w:p>
          <w:p w14:paraId="36366BFE">
            <w:pPr>
              <w:spacing w:line="280" w:lineRule="exact"/>
              <w:jc w:val="left"/>
              <w:rPr>
                <w:rFonts w:hint="default" w:eastAsia="方正仿宋_GBK" w:cs="方正仿宋_GBK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</w:tbl>
    <w:p w14:paraId="2E6648E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42E0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2024-08-12T06:45:41Z</dcterms:created>
  <dc:creator>zhangz</dc:creator>
  <cp:lastModifiedBy>张张</cp:lastModifiedBy>
  <dcterms:modified xsi:type="dcterms:W3CDTF">2024-08-12T06:46:02Z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AB3551D010244915B5C7E52AC1B9A185_12</vt:lpwstr>
  </property>
</Properties>
</file>