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南京市栖霞区财政局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5"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履行宏观调控职责，协助有关部门制定相关宏观经济政策，提出运用财税政策实施宏观调控、促进产业结构调整、促进经济发展方式转变、综合平衡社会财力、促进全区协调发展和推进基本公共服务均等化的建议。执行市与区、国家与企业的分配政策，拟定区与街道的分配政策。完善鼓励公益事业发展的财政政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2.贯彻执行财政、税收发展战略、方针政策、中长期规划、改革方案及其他有关政策。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3.贯彻执行财政、财务、会计、政府采购、国有资产管理的政策规定。</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承担区级各项财政收支管理的责任。负责编制年度区级预决算草案并组织执行。受区政府委托，向区人民代表大会报告区级和全区年度预算及其执行情况，向区人大常委会报告决算。组织制定区本级经费开支标准、定额，负责审核批复部门（单位）的年度预决算。完善转移支付制度。</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5.研究建立预算绩效评价体系和科学合理的财政资金绩效管理机制，负责制定财政资金绩效管理工作的有关政策、制度和实施办法，组织开展财政资金绩效管理和财政支出绩效评价工作。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负责政府非税收入管理，按规定管理政府性基金、行政事业性收费和其他非税收入。负责政府性基金预算编制和管理工作。管理财政票据。按规定管理彩票资金。协助有关部门开展全区治理乱收费、减轻企业和农民负担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7.组织实施国库管理制度和国库集中收付制度，指导和监督国库业务，按规定开展国库现金管理工作。组织实施政府采购政策、制度并监督管理。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8.负责各项区级财政专项资金的安排，牵头拟定各项专项资金管理办法，协助拟定有关部门、单位和项目资金的财务管理办法。协助有关部门进行项目的可行性研究和效益分析。</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贯彻执行行政事业单位非经营性国有资产管理制度。按规定对区级行政事业单位国有资产的取得、使用、报废和处置等进行管理。制定需要全区统一规定的开支标准和支出政策。管理财政预算内党政机关、事业单位和社会团体的出国（境）经费及非贸易外汇。监督执行行政事业单位财务会计制度。</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10.承担区属经营性国有资产监督管理工作。负责审核和汇总编制全区国有资本经营预决算草案，制定国有资本经营预算的制度和办法，收取区本级企业国有资本收益。贯彻实施企业财务管理相关制度。</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11.研究提出支持教育、科技、文化等社会事业改革与发展的财政政策。负责办理和监督区级财政的经济发展支出、政府性投资项目的财政拨款。拟定区建设投资的有关财政政策。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12.负责贯彻执行财政支农涉农政策并负责相关资金管理。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13.管理区级财政社会保障和就业及卫生健康支出，贯彻执行社会保障资金（基金）的财务管理制度，组织实施对社会保障资金（基金）使用的财政监督。</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14.执行国家关于政府债务和外债管理的方针政策、规章制度和国债发行计划。承担政府债务和国外贷款管理有关工作。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15.依法管理全区会计和代理记账行业工作。监督和规范会计行为，组织实施国家统一的会计制度。</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16.依法监督检查财税法规、政策的执行情况，提出加强财政管理的政策建议，依法处理财政违纪违规行为。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17.负责财政信息化建设和财政信息宣传工作，指导街道财政所开展工作。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18.完成区委、区政府交办的其他任务。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预算科、国库科、政府债务管理科、综合科（经济建设科）、税政科（法规科）、企业科（政府采购办公室）、教科文科、行政政法科、社会保障科、农业农村科（农村财政管理科）、绩效评价科（会计科）、国有资产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本部门下属单位包括:南京市栖霞区财政结算中心，南京市中华会计函授学校栖霞分校。</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3</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南京市栖霞区财政局（本级），南京市栖霞区财政结算中心，南京市中华会计函授学校栖霞分校。</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立足发展谋增长，扩展财政增收渠道。继续构建良好营商环境，进一步强化税源涵养，优化税源结构，培育财政持续增收动力。一是紧盯人代会确定的收入目标，强化对经济形势分析研判，在落实好减税降费的同时，促进依法征收、应收尽收，确保财政收入持续稳定增长。二是不断推动现有财源的高质量发展，突出优势强项，补足弱势短板，继续强化对房地产业、建筑安装业、金融业税源监管，夯实增收基础。加大招商引资力度，持续有力培育新增财源，扩展财政增收渠道。三是充分调动各方组织收入积极性，继续完善收入组织协同工作机制，推动形成上下联动、左右协同、信息共享的工作合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立足绩效优支出，提高财政保障能力。一是强化预算源头管理。严格执行《预算法》和《预算法实施条例》，切实规范部门预算管理，坚持以编好项目为本，提升预算编制的精准度和有效性。二是加大财政资源统筹力度。通过推进零基预算、项目整合、动态监控预算执行、理顺资产管理体制，不断加大存量资金、资产盘活力度，提高财政统筹能力。三是深入实施预算绩效管理。以预算部门绩效目标编制、绩效监控、绩效评价、绩效公开机制为抓手，促进预算部门提高财政资金使用效能，更加注重部门整体绩效评价和专项资金绩效评价结果运用，不断优化支出安排。四是实施积极有为的财政政策。紧扣“最强增长极、最美新栖霞”目标，会同相关业务主管部门，研究财政扶持政策和资金投入机制，促进社会保障更加普惠精准，公共服务更加优质均衡，经济发展更加提质增效。</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立足底线抓债务，严控政府债务风险。按照“化债、转型、求效”的思路，进一步增强化解债务的实力，增强自我发展的能力，层层压实责任，有效防范化解风险。一是多渠道筹集化债资金，盘活各类资产资源，做好收入组织“加法”，全力做大综合财力蛋糕，组织园区平台深入开展国有资产资源清理，积极通过市场有序变现，有效增强偿债能力。进一步优化土地供应结构，保持土地收储及上市节奏，推动土地收入持续增长。二是继续深化完善政府投资决策规则和程序，强化项目支出标准和资金政策的事前科学论证。三是进一步理顺政府与平台公司之间关系，持续推进融资平台公司市场化转型，保障全区投资重点领域合理建设需求。四是继续拓宽投融资渠道，逐步建立起财政投入和市场运作相结合的多元化融资体系，选择融资成本低、周期长、可靠性强的中票、企业债等直接融资产品，确保资金链安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立足改革增活力，提升财政治理水平。深入推进财政管理改革，坚持用创新推进改革，用改革破解难题，切实提升财政管理效能。一是深化国有企业改革，锚定国企改革三年行动方案制定的目标，压实主体责任，通过强化工作专班、统筹调度、述职评议、创新激励等机制，着力提升“完善现代企业制度、优化国有经济布局、健全市场化经营”三个方面的改革质效，确保改革任务全面完成。二是完善国有资产监管体制，采取“大数据+网格化+铁脚板”的监管手段和清单化、协同化的监管方式，健全协同高效的监督机制，大力推进经营性国有资产集中统一监管。规范国有资产出租出借行为，严格履行程序防止国有资产流失。继续推进资产“公物仓”管理，提高国有资产使用效益，建设节约型机关。三是加快财政信息系统建设步伐，以自我革命的精神，推进财政业务流程重构再造， 做好新旧系统衔接和培训辅导，顺利实现预算编制、预算执行、非税电子化系统的上线和推广运用。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立足党建强队伍，提升工作作风效能。全面贯彻管党治党各项要求，坚持党员党性教育常抓不懈，进一步引导党员牢固树立“四个意识”，坚定“四个自信”，做到“两个维护”。一是抓实党性教育，坚持把党史学习教育作为当前及今后一个时期的重要政治任务，以学习宽度、深度、力度为着力点，营造浓厚学习氛围，为服务中心大局提供精神动力。二是抓好作风建设，大力推进财政惠民及为民办实事工作，发挥青年志愿者、巾帼志愿者作用，整合团工妇以及共建单位资源力量，开展各类为民惠民服务活动，促进地区发展，锤炼干部作风。三是抓牢廉政宣教，继续做好队伍理想信念和党风党纪教育，进一步提升廉政教育的力度、频度和幅度，促进廉政教育常态化、精准化。</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南京市栖霞区财政局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南京市栖霞区财政局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1,920.58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890.65</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610.46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419.47</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1,920.58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1,920.58</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1,920.58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1,920.58</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67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南京市栖霞区财政局</w:t>
            </w:r>
          </w:p>
        </w:tc>
        <w:tc>
          <w:tcPr>
            <w:tcW w:w="468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68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1,920.58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1,920.58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1,920.58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318</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南京市栖霞区财政局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1,920.58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1,920.58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1,920.58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318001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南京市栖霞区财政局（机关）</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779.43</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779.43</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779.43</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318002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南京市栖霞区财政结算中心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507.47</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507.47</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507.47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318003</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南京市中华会计函授学校栖霞分校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633.68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633.68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633.68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8"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南京市栖霞区财政局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1,920.58</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1,778.58</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142.00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890.65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768.65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财政事务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890.65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768.65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2010601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442.40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2010602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2010604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预算改革业务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2010650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326.25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326.25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2010699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其他财政事务支出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教育支出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610.46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590.46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成人教育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610.46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590.46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2050499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其他成人教育支出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610.46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590.46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132.62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132.62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286.85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286.85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南京市栖霞区财政局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1,920.58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1,920.58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1,920.58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890.65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610.46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419.47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1,920.58</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1,920.58</w:t>
            </w:r>
          </w:p>
        </w:tc>
      </w:tr>
    </w:tbl>
    <w:p>
      <w:pPr>
        <w:rPr>
          <w:rFonts w:hint="eastAsia" w:ascii="仿宋" w:hAnsi="仿宋" w:eastAsia="仿宋" w:cs="仿宋"/>
          <w:b/>
          <w:bCs/>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南京市栖霞区财政局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1,920.58</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1,778.58</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1,696.33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82.25</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890.65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768.65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692.55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76.10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财政事务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890.65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768.65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692.55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76.10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2010601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442.40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442.40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399.39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43.01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2010602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2010604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预算改革业务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2010650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326.25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326.25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293.16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33.09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2010699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其他财政事务支出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教育支出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610.46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590.46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584.31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成人教育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610.46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590.46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584.31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2050499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其他成人教育支出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610.46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590.46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584.31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419.47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419.47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419.47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419.47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419.47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419.47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132.62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132.62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132.62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286.85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286.85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286.85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南京市栖霞区财政局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1,778.58</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1,696.33</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1,117.26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1,117.26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585.86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52.73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75.44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75.44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42.71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42.71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132.62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29.88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62.55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511.00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511.00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2"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南京市栖霞区财政局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1,920.58</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1,778.58</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1,696.33</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82.25</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890.65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768.65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692.55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76.10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财政事务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890.65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768.65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692.55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76.10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2010601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442.40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442.40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399.39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43.01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2010602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2010604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预算改革业务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2010650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326.25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326.25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293.16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33.09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2010699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其他财政事务支出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610.46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590.46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584.31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成人教育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610.46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590.46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584.31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2050499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其他成人教育支出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610.46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590.46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584.31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132.62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132.62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132.62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286.85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286.85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286.85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3"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南京市栖霞区财政局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1,778.58</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1,696.33</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1,117.26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1,117.26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585.86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585.86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52.73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75.44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75.44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42.71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42.71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132.62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29.88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62.55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62.55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511.00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511.00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南京市栖霞区财政局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5"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南京市栖霞区财政局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6"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南京市栖霞区财政局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南京市栖霞区财政局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76.10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76.10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21.66</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29.88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4.16</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7"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南京市栖霞区财政局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南京市栖霞区财政局（机关）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0.90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1.10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1.10</w:t>
            </w:r>
          </w:p>
        </w:tc>
      </w:tr>
    </w:tbl>
    <w:p>
      <w:pPr>
        <w:bidi w:val="0"/>
        <w:rPr>
          <w:rFonts w:hint="eastAsia" w:ascii="仿宋" w:hAnsi="仿宋" w:eastAsia="仿宋" w:cs="仿宋"/>
          <w:b/>
          <w:bCs/>
          <w:sz w:val="22"/>
          <w:szCs w:val="22"/>
        </w:rPr>
        <w:sectPr>
          <w:footerReference r:id="rId18"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南京市栖霞区财政局2022年度收入、支出预算总计1,920.58万元，与上年相比收、支预算总计各增加38.62万元，增长2.05%。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（一）收入预算总计1,920.58万元。包括：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1．本年收入合计1,920.58万元。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（1）一般公共预算拨款收入1,920.58万元，与上年相比增加38.62万元，增长2.05%。主要原因是增加了财税工作人员，相应经费有所增加。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（二）支出预算总计1,920.58万元。包括：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1．本年支出合计1,920.58万元。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（1）一般公共服务支出（类）支出890.65万元，主要用于区财政局机关和财政结算中心运转经费和项目支出。与上年相比减少11.91万元，减少1.32%。主要原因是区财政结算中心人员减少。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（2）教育支出（类）支出610.46万元，主要用于区函校运转经费和项目支出。与上年相比增加66.52万元，增长12.23%。主要原因是增加了财税工作人员，支出相应增加。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（3）住房保障支出（类）支出419.47万元，主要用于住房公积金、住房补贴等支出。与上年相比减少15.99万元，减少3.67%。主要原因是区财政结算中心人员减少。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南京市栖霞区财政局2022年收入预算合计1,920.58万元，包括本年收入1,920.58万元，上年结转结余0万元。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本年一般公共预算收入1,920.58万元，占100%；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南京市栖霞区财政局2022年支出预算合计1,920.58万元，其中：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基本支出1,778.58万元，占92.61%；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项目支出142万元，占7.39%；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南京市栖霞区财政局2022年度财政拨款收、支总预算1,920.58万元。与上年相比，财政拨款收、支总计各增加38.62万元，增长2.05%。主要原因是增加了财税工作人员，相应经费有所增加。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南京市栖霞区财政局2022年财政拨款预算支出1,920.58万元，占本年支出合计的100%。与上年相比，财政拨款支出增加38.62万元，增长2.05%。主要原因是增加了财税工作人员，相应经费有所增加。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1.财政事务（款）行政运行（项）支出442.4万元，与上年相比减少0.11万元，减少0.02%。主要原因是厉行节约，压减开支。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2.财政事务（款）一般行政管理事务（项）支出2万元，与上年预算数相同。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3.财政事务（款）预算改革业务（项）支出40万元，与上年预算数相同。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4.财政事务（款）事业运行（项）支出326.25万元，与上年相比减少11.8万元，减少3.49%。主要原因是区财政结算中心人员减少。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5.财政事务（款）其他财政事务支出（项）支出80万元，与上年预算数相同。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（二）教育支出（类）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成人教育（款）其他成人教育支出（项）支出610.46万元，与上年相比增加66.52万元，增长12.23%。主要原因是增加了财税工作人员，相应经费有所增加。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1.住房改革支出（款）住房公积金（项）支出132.62万元，与上年相比减少5.06万元，减少3.68%。主要原因是区财政结算中心人员减少。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2.住房改革支出（款）购房补贴（项）支出286.85万元，与上年相比减少10.93万元，减少3.67%。主要原因是区财政结算中心人员减少。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南京市栖霞区财政局2022年度财政拨款基本支出预算1,778.58万元，其中：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1,696.33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（二）公用经费82.25万元。主要包括：办公费、会议费、培训费、公务接待费、工会经费、其他交通费用、其他商品和服务支出。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南京市栖霞区财政局2022年一般公共预算财政拨款支出预算1,920.58万元，与上年相比增加38.62万元，增长2.05%。主要原因是增加了财税工作人员，相应经费有所增加。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南京市栖霞区财政局2022年度一般公共预算财政拨款基本支出预算1,778.58万元，其中：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1,696.33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（二）公用经费82.25万元。主要包括：办公费、会议费、培训费、公务接待费、工会经费、其他交通费用、其他商品和服务支出。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度一般公共预算拨款安排的“三公”经费预算支出中，因公出国（境）费支出0万元，占“三公”经费的0%；公务用车购置及运行维护费支出0万元，占“三公”经费的0%；公务接待费支出1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3．公务接待费预算支出1万元，与上年预算数相同。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南京市栖霞区财政局2022年度一般公共预算拨款安排的会议费预算支出3.5万元，比上年预算增加0.5万元，主要原因是拟安排会议次数增加。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南京市栖霞区财政局2022年度一般公共预算拨款安排的培训费预算支出6万元，与上年预算数相同。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南京市栖霞区财政局2022年国有资本经营预算支出0万元。与上年预算数相同。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2022年本部门一般公共预算机关运行经费预算支出76.1万元。与上年相比减少1.56万元，减少2.01%。主要原因是区财政结算中心人员略有减少，机关运行经费相应减少。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2022年度政府采购支出预算总额2万元，其中：拟采购货物支出2万元、拟采购工程支出0万元、拟购买服务支出0万元。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0辆，其中，一般公务用车0辆、执法执勤用车0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2022年度，本部门整体支出纳入绩效目标管理，涉及四本预算资金1,920.58万元；本部门共3个项目纳入绩效目标管理，涉及四本预算资金合计142万元，占四本预算资金(基本支出除外)总额的比例为100%。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八、一般公共服务支出(类)财政事务(款)行政运行(项)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九、一般公共服务支出(类)财政事务(款)一般行政管理事务(项)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十、一般公共服务支出(类)财政事务(款)预算改革业务(项)</w:t>
      </w:r>
      <w:r>
        <w:rPr>
          <w:rFonts w:ascii="仿宋" w:hAnsi="仿宋" w:cs="仿宋" w:eastAsia="仿宋"/>
          <w:b w:val="true"/>
        </w:rPr>
        <w:t>：</w:t>
      </w:r>
      <w:r>
        <w:rPr>
          <w:rFonts w:hint="eastAsia" w:ascii="仿宋" w:hAnsi="仿宋" w:eastAsia="仿宋" w:cs="仿宋"/>
        </w:rPr>
        <w:t>反映财政部门用于预算改革方面的支出。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十一、一般公共服务支出(类)财政事务(款)事业运行(项)</w:t>
      </w:r>
      <w:r>
        <w:rPr>
          <w:rFonts w:ascii="仿宋" w:hAnsi="仿宋" w:cs="仿宋" w:eastAsia="仿宋"/>
          <w:b w:val="true"/>
        </w:rPr>
        <w:t>：</w:t>
      </w:r>
      <w:r>
        <w:rPr>
          <w:rFonts w:hint="eastAsia" w:ascii="仿宋" w:hAnsi="仿宋" w:eastAsia="仿宋" w:cs="仿宋"/>
        </w:rPr>
        <w:t>反映事业单位的基本支出，不包括行政单位（包括实行公务员管理的事业单位）后勤服务中心、医务室等附属事业单位。</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十二、一般公共服务支出(类)财政事务(款)其他财政事务支出(项)</w:t>
      </w:r>
      <w:r>
        <w:rPr>
          <w:rFonts w:ascii="仿宋" w:hAnsi="仿宋" w:cs="仿宋" w:eastAsia="仿宋"/>
          <w:b w:val="true"/>
        </w:rPr>
        <w:t>：</w:t>
      </w:r>
      <w:r>
        <w:rPr>
          <w:rFonts w:hint="eastAsia" w:ascii="仿宋" w:hAnsi="仿宋" w:eastAsia="仿宋" w:cs="仿宋"/>
        </w:rPr>
        <w:t>反映除上述项目以外其他财政事务方面的支出。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十三、教育支出(类)成人教育(款)其他成人教育支出(项)</w:t>
      </w:r>
      <w:r>
        <w:rPr>
          <w:rFonts w:ascii="仿宋" w:hAnsi="仿宋" w:cs="仿宋" w:eastAsia="仿宋"/>
          <w:b w:val="true"/>
        </w:rPr>
        <w:t>：</w:t>
      </w:r>
      <w:r>
        <w:rPr>
          <w:rFonts w:hint="eastAsia" w:ascii="仿宋" w:hAnsi="仿宋" w:eastAsia="仿宋" w:cs="仿宋"/>
        </w:rPr>
        <w:t>反映除上述项目以外其他用于成人教育方面的支出。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南京市栖霞区财政局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42034"/>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footer14.xml" Type="http://schemas.openxmlformats.org/officeDocument/2006/relationships/footer"/><Relationship Id="rId19" Target="footer15.xml" Type="http://schemas.openxmlformats.org/officeDocument/2006/relationships/footer"/><Relationship Id="rId2" Target="settings.xml" Type="http://schemas.openxmlformats.org/officeDocument/2006/relationships/settings"/><Relationship Id="rId20" Target="theme/theme1.xml" Type="http://schemas.openxmlformats.org/officeDocument/2006/relationships/theme"/><Relationship Id="rId21" Target="../customXml/item1.xml" Type="http://schemas.openxmlformats.org/officeDocument/2006/relationships/customXml"/><Relationship Id="rId22" Target="fontTable.xml" Type="http://schemas.openxmlformats.org/officeDocument/2006/relationships/fontTable"/><Relationship Id="rId23" Target="media/image1.jpeg" Type="http://schemas.openxmlformats.org/officeDocument/2006/relationships/image"/><Relationship Id="rId24"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24</TotalTime>
  <ScaleCrop>false</ScaleCrop>
  <LinksUpToDate>false</LinksUpToDate>
  <CharactersWithSpaces>7399</CharactersWithSpaces>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2022-02-16T10:35:58Z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2052-11.1.0.10314</vt:lpwstr>
  </property>
  <property fmtid="{D5CDD505-2E9C-101B-9397-08002B2CF9AE}" pid="6" name="LastSaved">
    <vt:filetime>2021-04-15T00:00:00Z</vt:filetime>
  </property>
</Properties>
</file>