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南京市栖霞区发展和改革委员会</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研究并提出全区国民经济和社会发展的规划和宏观调控政策；编制并组织实施国民经济与社会发展中长期规划和年度计划；提出国民经济发展及优化经济结构的目标和政策；负责全区国民经济和社会发展奋斗目标监督、检查和考核；加强经济形势的监测分析，提出经济可持续发展的指导措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负责拟订全区经济体制改革方案；统筹推进区供给侧结构性改革等专项改革方案的组织实施；指导推进全区其他各项经济体制改革工作；牵头推进区优化营商环境工作。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推动落实“一带一路”建设、长江经济带发展、长三角区域一体化发展等国家重大战略；推进落实区域协调发展战略、新型城镇化战略等重大政策；统筹推进扬子江城市群、宁镇扬等跨区域合作与发展，负责拟订区域合作交流政策，组织区域合作交流；牵头协调推进东西部对口支援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协调全区三次产业发展重大问题并统筹衔接相关发展规划和重大政策；统筹规划全区重大产业项目和生产力布局；负责拟订产业融合、产城融合等政策建议，推进先进制造业与现代服务业融合发展；组织拟订并推动全区服务业战略规划和重大政策，负责现代服务业经济运行情况分析；负责服务业集聚区建设和服务业重大项目的指导、协调和服务；协调推进总部经济发展的相关工作，制订相关政策与措施；研究提出高新技术产业和新兴产业发展重点领域；牵头负责军民融合和国防经济动员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负责全区固定资产投资的综合管理。研究提出全区固定资产投资规模和投资结构的调控目标、政策和措施，大力引导民间投资。负责规划重大建设项目布局及全区重大项目研究、储备、推进和协调。会同相关部门提出年度政府投资建设计划。</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负责可持续发展战略实施的协调。拟订资源节约综合利用规划；负责全区能源、电力行业管理有关工作，强化能源发展状况监测及分析，做好能源资源等基础产业方面的对外合作。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负责区域范围内油气长输管道安全管理工作。加强对本行政区域管道保护工作的领导，督促、检查有关单位依法履行管道保护职责；组织排除管道的重大外部安全隐患；依法查处危害管道安全的违法行为。</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负责规划和协调全区社会事业发展。组织拟定全区社会事业发展计划、目标；组织实施粮食等重要物资及应急储备物质收储、轮换和日常管理；协调全区社会事业发展中的重大问题，推进经济、社会可持续发展；研究和推进全区为民办实事、富民增收、城乡基本公共服务均等化等相关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统筹全区社会信用体系建设工作。承担区社会信用体系建设工作领导小组办公室日常工作；负责全区社会信用体系建设工作的任务部署、组织实施、考核考评；拟订全区社会信用体系建设的规定、标准和政策措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统筹全区社会信用体系建设工作。承担区社会信用体系建设工作领导小组办公室日常工作；负责全区社会信用体系建设工作的任务部署、组织实施、考核考评；拟订全区社会信用体系建设的规定、标准和政策措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统筹价格调控职能。贯彻执行国家、省、市价格法律、法规、规章，落实市价格总水平预期调控目标及相应的调控措施，实施特殊情况下价格干预措施方面的有关工作；加强价格监测公共信息服务，定期发布和开展价格公共信息服务工作。开展价格总水平、市场价格动态以及重要商品、服务价格和收费的监测、分析和预测，掌握相关成本与市场供求的变动情况，实施价格监测预警，提出调控管理及相关经济政策建议。协管国家和省、市价格主管部门管理的服务价格和行政事业性收费，提出价格和收费调整的建议，并组织具体实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完成区委、区政府交办的其他任务。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重大项目推进科、产业协调科、投资管理科、规划与发展科、社会事业科、体制改革与信用建设科、新经济科、重大战略推进科、油气长输管线保护科、资源节约与循环经济科、价格管理科、大数据规划管理科、大数据资源开发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本部门下属单位包括:南京市栖霞区发展和改革委员会价格认证中心。</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2</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南京市栖霞区发展和改革委员会（本级），南京市栖霞区发展和改革委员会价格认证中心。</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1、强化经济分析，做好目标路径分解。</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科学做好目标设置。全面梳理各部门、街道年度工作安排，统筹经济发展、改革开放、城乡建设、生态文明、社会治理等多个方面，谋划好全区经济社会发展目标，编制完善《栖霞区2022年国民经济和社会发展计划》；合理确定各项目标任务，分解下达相关指标及重点工作、项目，进一步强化目标导向，不断推进经济社会高质量发展。二是全面加强经济分析。准确把握经济和社会发展新常态，明确工作重点，聚焦重大项目、龙头企业跟踪监测，动态分析全区经济运行情况，进一步找准定位、找对抓手、细化措施，钻研目标实施路径，压实工作主体责任，提出有效对策建议，扩大监测分析成效。三是积极优化考核机制。准确把握市对区考核指标体系，加大对上衔接力度，充分理解考核办法、掌握考核动态，牵头指标责任部门排定分解计划，动态跟进工作开展情况，加强重点指标、薄弱指标梳理，牢牢把握考核工作主动权；持续完善区对街道、高新区考核办法，围绕市对区考核导向，结合街道、园区差异化发展实际，优化指标设置，谋划目标任务，努力形成重点突出、科学合理、客观真实的考核体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2、强化项目建设，加快完善投资管理。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加快编排项目计划。统筹兼顾体量规模和质量效益、产业主导和民生保障、责任落实和目标导向等多个方面，初排2022年市级重大项目46个，总投资755.2亿元，当年计划投资164.2亿元，坚持重大项目滚动发展机制，为全区高质量发展提供项目支撑。二是全力保障项目进展。加强三区统筹协调，对于新开工项目，牵头各相关部门做好前期论证，加快落实规划、用地、环保、资金等要素环节，及时推进各项手续办理，确保项目建设顺利开展，实现“上半年开工率达90%，三季度100%开工”建设目标；对于续建项目，准确做到年度计划投资与总投资合理匹配，持续做好全程跟踪服务，确保投资进度、形象进度“双达标”。三是持续放大投资效能。合理确定全社会固定资产投资增幅，科学分解目标任务，进一步加强项目储备，优化政府投资项目概算管理和立项审批程序，切实提高政府投资绩效和项目精细化管理水平；协助项目单位加强有效项目供给，积极争取中央预算内资金、专项债，多方合力推动全区产业园区REITs试点工作快速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3、强化企业培育，不断提升产业能级。</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推动产业结构优化。围绕全区主导产业和产业链优势领域，进一步优化产业空间布局，着力推进强链补链，实现资源集约利用，有效提高配置效率；推动先进制造业和现代服务业深度融合发展，进一步扩大生产性服务业规模，推动生产性服务业向专业化和价值链高端延伸；突出创新驱动，助力产业转型，充分发挥政策示范作用，引导“产学研用”深度融合，布局产业技术创新平台，完善人工智能项目跟踪服务机制，切实提高受众精准度。二是加强企业项目建设。进一步突出招大引强，加快培育一批现代服务业领军企业，招引一批具有区域竞争力的总部企业和知名品牌，发展一批“两业融合”试点企业，打造“两业融合”试点区域，不断提升总部经济、楼宇经济和产业集聚发展水平；推动LG新能源电池、翔腾光电等制造业项目竣工投产，为经济发展提供增量贡献，加快中国（南京）智谷、燕子矶滨江商务区等园区和现代服务业项目建设，打造中高端商业中心和科创企业空间载体。三是促进JMRH发展。聚焦优势产业，突出地区发展特色，全力畅通省市JMRH资金申报渠道；强化军地对接，切合国家、省市JMRH发展政策，提振企业发展信心。</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4、强化改革创新，持续优化营商环境。</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推进社会信用体系建设。全面提升“双公示”质量，制定栖霞区“双公示”规范，持续开展诚信宣教活动，推广社会信用体系建设经验成果，全面营造“诚实守信”社会环境；全方位深化信用惠民便企服务，提升“信易贷”覆盖面和融资规模，在经费支持、孵化培育、资质评级等方面推动更多资源向诚信企业倾斜，突出企业信用建设成果；推广事前信用承诺，采取市场主体分级分类监管措施，加大政务、商务、社会、司法等多领域信用建设, 增强部门监管合力。二是提升营商便利度水平。积极落实市优化营商环境各项政策部署，制定2022年栖霞区优化营商环境政策，充分利用多媒体渠道广泛开展舆论宣传，打造栖霞工作特色；充分发挥牵头部门作用，定期监督考核营商环境工作成效，确保政策法规落到实处；坚持问题导向，切实做到问需于企、问效于企，加强企业沟通，及时回应解决问题，准确传递权威信息和政策意图，不断构建市场化、法治化、国际化的一流营商环境。三是强化改革工作督办。坚持问题导向、目标导向、结果导向，密切沟通相关部门，做好改革方案实施跟踪，配合开展改革实施效果评估，确保改革系统性、整体性、协同性。</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5、强化顶层设计，着力建设智慧栖霞。</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抓好重点信息化项目管理。按照“基础先行、急用先行、民生先行、量力而行”原则，编制《2022年度信息化建设计划》，明确责任单位、落实资金来源、制定时间进度、持续跟踪服务，确保计划内项目逐一落实。二是继续完善大数据平台架构。加快区、街两级城市数字治理中心建设，实时汇聚城市运行、社会民生、经济发展等动态指标，通过城市运行数据归集、治理和分析，强化管理决策和公众服务数据支撑；优化区级共享交换平台、业务中台等基础平台建设，初步建成人口、法人、宏观经济等七个基础信息资源库，以及部分主题资源库、部门资源库；加大信息系统整合力度，分步实施信息迁移，逐步实现机关部门现有信息系统统一管理、互联互通和数据共享。三是巩固数据网络安全。严格落实信息系统保护机制，加强数据中心网络边界防护，做好数据中心常态化运维管理；制定应用级数据实时备份容灾解决方案，做到数据实时连续性备份，确保数据平台信息安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6、强化统筹协调，保障重大战略推进。</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做好长江经济带相关工作。梳理全面推动长江经济带高质量发展座谈会一周年成果素材，集中展示地区特色亮点项目，举办《长江保护法》宣贯活动，加大长江大保护宣传力度；聚焦“一江两岸”地区建设，构建多元协调生态系统，围绕数字乡村、科技服务、功能农业三大发展方向，推动八卦洲绿色发展示范载体打造；深入调研全区生态产品价值实现相关点位，建立生态产品价值实现储备项目库，培育更多典型案例。二是创新能耗管控举措。探索建立绿色低碳技术成果转化平台，启动碳达峰、碳中和目标及路径研究，认真梳理全区低碳城市工作成效和存在问题，创新合同能源管理模式，持续提高资源综合利用效能，推进能源结构科学化、绿色化。三是压实安全生产责任。针对油气电力安全防范工作规律特点，毫不放松抓好安全生产专项整治；引入第三方安全监管机构，进一步完善智慧监管平台功能，着力打造高水平、专业化安全监管队伍；抓好主体责任落实工作，建立健全高后果区风险档案，指导属地街道建立油气管道风险清单，确保安全风险可视可控可查。</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7、强化民生改善，全面发展社会事业。</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全力做好民生保障。大力推进全区教育、卫生、文旅、养老等各项社会事业工作目标，完善公共服务体系；高质高效办好市区民生实事项目，初排2022年区级民生实事项目30项；深化富民增收工作开展，完善多渠道、多层次就业平台架构，继续实施创业富民、科技富民、政策富民等项目工程，确保居民收入增长与经济增长基本同步；常态化做好防控救灾物资储备管理，提升全区应急能力水平。二是继续深化对口协作。加强总体规划编制，突出全年协作工作重点，针对资金援助、人才支持、劳务协作、产业合作、消费支撑等领域积极开展工作创新，拓展帮扶协作方式，增强区域协调发展效能，巩固对口地区协作成果。三是有效强化价格管控。全面落实价格调控和治乱减负目标责任要求，增强价格监测预警能力，规范价格收费行为，维护商品价格稳定；做好商品房销售价格、物业收费标准等申报备案，确保收费明码标价公示，同步提高事中事后监管水平，督促问题单位整改规范；继续做好12345等民生诉求接处工作。</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南京市栖霞区发展和改革委员会</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南京市栖霞区发展和改革委员会</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5,994.37</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1,459.49</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800.00</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3,275.00</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459.88</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5,994.37</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5,994.37</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5,994.37</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5,994.37</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149" w:type="dxa"/>
        <w:tblInd w:w="-2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97"/>
        <w:gridCol w:w="1800"/>
        <w:gridCol w:w="1063"/>
        <w:gridCol w:w="943"/>
        <w:gridCol w:w="789"/>
        <w:gridCol w:w="754"/>
        <w:gridCol w:w="686"/>
        <w:gridCol w:w="754"/>
        <w:gridCol w:w="754"/>
        <w:gridCol w:w="720"/>
        <w:gridCol w:w="754"/>
        <w:gridCol w:w="738"/>
        <w:gridCol w:w="720"/>
        <w:gridCol w:w="925"/>
        <w:gridCol w:w="772"/>
        <w:gridCol w:w="720"/>
        <w:gridCol w:w="754"/>
        <w:gridCol w:w="686"/>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572"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南京市栖霞区发展和改革委员会</w:t>
            </w:r>
          </w:p>
        </w:tc>
        <w:tc>
          <w:tcPr>
            <w:tcW w:w="457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97"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1063"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7612"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57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109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063"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897"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5,994.37</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5,994.37</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5,994.37</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303</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南京市栖霞区发展和改革委员会</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5,994.37</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5,994.37</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5,994.37</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303001</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南京市栖霞区发展和改革委员会（机关）</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5,956.36</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5,956.36</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5,956.36</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303002</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南京市栖霞区发展和改革委员会价格认证中心</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38.01</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38.01</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38.01</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57" w:right="0" w:firstLine="221" w:firstLineChars="100"/>
        <w:jc w:val="left"/>
        <w:rPr>
          <w:rFonts w:hint="eastAsia" w:ascii="仿宋" w:hAnsi="仿宋" w:eastAsia="仿宋" w:cs="仿宋"/>
          <w:b/>
          <w:bCs/>
          <w:sz w:val="22"/>
          <w:szCs w:val="22"/>
        </w:rPr>
        <w:sectPr>
          <w:footerReference r:id="rId9" w:type="default"/>
          <w:pgSz w:w="16838" w:h="11906" w:orient="landscape"/>
          <w:pgMar w:top="720" w:right="720" w:bottom="720" w:left="5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南京市栖霞区发展和改革委员会</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5,994.37</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1,609.37</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4,385.00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1,459.49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1,149.49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发展与改革事务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1,459.49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1,149.49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2010401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1,120.40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1,120.40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2010402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2010404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战略规划与实施</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2010405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日常经济运行调节</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2010406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社会事业发展规划</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2010408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物价管理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113.09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2010499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其他发展与改革事务支出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公共安全支出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20499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其他公共安全支出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2049999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其他公共安全支出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科学技术支出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20699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其他科学技术支出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2069999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其他科学技术支出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459.88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459.88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459.88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459.88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145.24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145.24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314.64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314.64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南京市栖霞区发展和改革委员会</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5,994.37</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5,994.37</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5,994.37</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1,459.49</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800.00</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3,275.00</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459.88</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5,994.37</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5,994.37</w:t>
            </w:r>
          </w:p>
        </w:tc>
      </w:tr>
    </w:tbl>
    <w:p>
      <w:pPr>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南京市栖霞区发展和改革委员会</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5,994.37</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1,609.37</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1,519.59</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89.78</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4,385.00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1,459.49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1,149.49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1,059.71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89.78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发展与改革事务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1,459.49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1,149.49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1,059.71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89.78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2010401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1,120.40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1,120.40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1,032.96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87.44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2010402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2010404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战略规划与实施</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2010405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日常经济运行调节</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2010406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社会事业发展规划</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2010408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物价管理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113.09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29.09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26.75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84.00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2010499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其他发展与改革事务支出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公共安全支出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20499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其他公共安全支出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2049999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其他公共安全支出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科学技术支出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3,275.00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3,275.00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20699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其他科学技术支出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3,275.00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3,275.00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2069999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其他科学技术支出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3,275.00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3,275.00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459.88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459.88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459.88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459.88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459.88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459.88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145.24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145.24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145.24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314.64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314.64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314.64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南京市栖霞区发展和改革委员会</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1,609.37</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1,519.59</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89.78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1,323.28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1,323.28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179.85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179.85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606.43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606.43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54.04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54.04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71.13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88.34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88.34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44.16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44.16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49.69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49.69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145.24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145.24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89.78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89.78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6.41</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27.13</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167.67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167.67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151.99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151.99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28.64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28.64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28.64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28.64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南京市栖霞区发展和改革委员会</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5,994.37</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1,609.37</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1,519.59</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89.78</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4,385.00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1,459.49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1,149.49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1,059.71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89.78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发展与改革事务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1,459.49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1,149.49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1,059.71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89.78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2010401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1,120.40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1,120.40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1,032.96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87.44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2010402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2010404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战略规划与实施</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2010405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日常经济运行调节</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2010406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社会事业发展规划</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2010408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物价管理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113.09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26.75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2010499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其他发展与改革事务支出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公共安全支出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20499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其他公共安全支出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2049999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其他公共安全支出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科学技术支出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20699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其他科学技术支出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2069999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其他科学技术支出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3,275.00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459.88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459.88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459.88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459.88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459.88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459.88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145.24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145.24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145.24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314.64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314.64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314.64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南京市栖霞区发展和改革委员会</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1,609.37</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1,519.59</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89.78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1,323.28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1,323.28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179.85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179.85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606.43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606.43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54.04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54.04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71.13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71.13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88.34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88.34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44.16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44.16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49.69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49.69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145.24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145.24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89.78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89.78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6.41</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27.13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27.13</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167.67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167.67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151.99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151.99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28.64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28.64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28.64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28.64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南京市栖霞区发展和改革委员会</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南京市栖霞区发展和改革委员会</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南京市栖霞区发展和改革委员会</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南京市栖霞区发展和改革委员会</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87.44</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87.44</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4.73</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邮电费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27.13</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11.88</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南京市栖霞区发展和改革委员会</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南京市栖霞区发展和改革委员会（机关）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其他台、桌类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bl>
    <w:p>
      <w:pPr>
        <w:bidi w:val="0"/>
        <w:rPr>
          <w:rFonts w:hint="eastAsia" w:ascii="仿宋" w:hAnsi="仿宋" w:eastAsia="仿宋" w:cs="仿宋"/>
          <w:b/>
          <w:bCs/>
          <w:sz w:val="22"/>
          <w:szCs w:val="22"/>
        </w:rPr>
        <w:sectPr>
          <w:footerReference r:id="rId19"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南京市栖霞区发展和改革委员会2022年度收入、支出预算总计5,994.37万元，与上年相比收、支预算总计各增加545.55万元，增长10.01%。</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（一）收入预算总计5,994.37万元。包括：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1．本年收入合计5,994.37万元。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（1）一般公共预算拨款收入5,994.37万元，与上年相比增加545.55万元，增长10.01%。主要原因是信息化建设专项资金增加。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（二）支出预算总计5,994.37万元。包括：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1．本年支出合计5,994.37万元。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（1）一般公共服务支出（类）支出1,459.49万元，主要用于人员工资、公积金发放。与上年相比减少51.87万元，减少3.43%。主要原因是厉行节约。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（2）公共安全支出（类）支出800万元，主要用于大数据局公共安全支出。与上年预算数相同。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（3）科学技术支出（类）支出3,275万元，主要用于信息化建设资金。与上年相比增加475万元，增长16.96%。主要原因是信息化建设资金增加。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（4）住房保障支出（类）支出459.88万元，主要用于住房公积金、住房补贴发放。与上年相比增加22.42万元，增长5.13%。主要原因是人员增加及公积金、住房补贴基数调整。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南京市栖霞区发展和改革委员会2022年收入预算合计5,994.37万元，包括本年收入5,994.37万元，上年结转结余0万元。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本年一般公共预算收入5,994.37万元，占100%；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南京市栖霞区发展和改革委员会2022年支出预算合计5,994.37万元，其中：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基本支出1,609.37万元，占26.85%；</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项目支出4,385万元，占73.15%；</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南京市栖霞区发展和改革委员会2022年度财政拨款收、支总预算5,994.37万元。与上年相比，财政拨款收、支总计各增加545.55万元，增长10.01%。主要原因是人员增加及公积金、住房补贴基数调整。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发展和改革委员会2022年财政拨款预算支出5,994.37万元，占本年支出合计的100%。与上年相比，财政拨款支出增加545.55万元，增长10.01%。主要原因是信息化建设专项资金增加；人员增加，人员工资、公积金、购房补贴等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（一）一般公共服务支出（类）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1.发展与改革事务（款）行政运行（项）支出1,120.4万元，与上年相比减少33.18万元，减少2.88%。主要原因是厉行节约。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2.发展与改革事务（款）一般行政管理事务（项）支出26万元，与上年相比增加20万元，增长333.33%。主要原因是人员增加，人员工资等政策性调整。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3.发展与改革事务（款）战略规划与实施（项）支出30万元，与上年相比减少24万元，减少44.44%。主要原因是厉行节约。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发展与改革事务（款）日常经济运行调节（项）支出90万元，与上年相比增加40万元，增长80%。主要原因是政府投资项目委托评估费50万元由财政拨款安排，上年政府投资项目委托评估费由单位结余资金安排，财政拨款未安排。</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5.发展与改革事务（款）社会事业发展规划（项）支出50万元，与上年相比增加13万元，增长35.14%。主要原因是疫情影响。</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6.发展与改革事务（款）物价管理（项）支出113.09万元，与上年相比增加61.31万元，增长118.4%。主要原因是物价管理宣传工作任务增加。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7.发展与改革事务（款）其他发展与改革事务支出（项）支出30万元，与上年相比减少29万元，减少49.15%。主要原因是厉行节约。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（二）公共安全支出（类）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其他公共安全支出（款）其他公共安全支出（项）支出800万元，与上年预算数相同。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（三）科学技术支出（类）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其他科学技术支出（款）其他科学技术支出（项）支出3,275万元，与上年相比增加575万元，增长21.3%。主要原因是信息化建设专项资金增加。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（四）住房保障支出（类）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1.住房改革支出（款）住房公积金（项）支出145.24万元，与上年相比增加7.09万元，增长5.13%。主要原因是人员增加以及住房公积金政策性调整。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2.住房改革支出（款）购房补贴（项）支出314.64万元，与上年相比增加15.33万元，增长5.12%。主要原因是人员增加以及购房补贴政策性调整。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南京市栖霞区发展和改革委员会2022年度财政拨款基本支出预算1,609.37万元，其中：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1,519.59万元。主要包括：基本工资、津贴补贴、奖金、伙食补助费、绩效工资、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（二）公用经费89.78万元。主要包括：办公费、水费、电费、邮电费、差旅费、会议费、培训费、公务接待费、工会经费、其他交通费用、其他商品和服务支出。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发展和改革委员会2022年一般公共预算财政拨款支出预算5,994.37万元，与上年相比增加545.55万元，增长10.01%。主要原因是信息化建设专项资金增加；人员增加，人员工资、公积金、购房补贴等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南京市栖霞区发展和改革委员会2022年度一般公共预算财政拨款基本支出预算1,609.37万元，其中：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1,519.59万元。主要包括：基本工资、津贴补贴、奖金、伙食补助费、绩效工资、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（二）公用经费89.78万元。主要包括：办公费、水费、电费、邮电费、差旅费、会议费、培训费、公务接待费、工会经费、其他交通费用、其他商品和服务支出。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发展和改革委员会2022年度一般公共预算拨款安排的“三公”经费预算支出中，因公出国（境）费支出0万元，占“三公”经费的0%；公务用车购置及运行维护费支出0万元，占“三公”经费的0%；公务接待费支出8万元，占“三公”经费的100%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3．公务接待费预算支出8万元，比上年预算增加2.87万元，主要原因是上级调研及对口扶贫单位来访。</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南京市栖霞区发展和改革委员会2022年度一般公共预算拨款安排的会议费预算支出7万元，比上年预算增加0.16万元，主要原因是对口扶贫单位来访。</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南京市栖霞区发展和改革委员会2022年度一般公共预算拨款安排的培训费预算支出30万元，比上年预算增加27.95万元，主要原因是碳达峰及营商环境等培训会增加。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南京市栖霞区发展和改革委员会2022年政府性基金支出预算支出0万元。与上年预算数相同。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南京市栖霞区发展和改革委员会2022年国有资本经营预算支出0万元。与上年预算数相同。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2022年本部门一般公共预算机关运行经费预算支出87.44万元。与上年相比增加1.18万元，增长1.37%。主要原因是部门人员增加，相应定额费用增加。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2022年度政府采购支出预算总额6万元，其中：拟采购货物支出6万元、拟采购工程支出0万元、拟购买服务支出0万元。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0辆，其中，一般公务用车0辆、执法执勤用车0辆、特种专业技术用车0辆、业务用车0辆、其他用车0辆等。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2022年度，本部门整体支出纳入绩效目标管理，涉及四本预算资金5,994.37万元；本部门共5个项目纳入绩效目标管理，涉及四本预算资金合计4,385万元，占四本预算资金(基本支出除外)总额的比例为100%。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八、一般公共服务支出(类)发展与改革事务(款)行政运行(项)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九、一般公共服务支出(类)发展与改革事务(款)一般行政管理事务(项)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十、一般公共服务支出(类)发展与改革事务(款)战略规划与实施(项)</w:t>
      </w:r>
      <w:r>
        <w:rPr>
          <w:rFonts w:ascii="仿宋" w:hAnsi="仿宋" w:cs="仿宋" w:eastAsia="仿宋"/>
          <w:b w:val="true"/>
        </w:rPr>
        <w:t>：</w:t>
      </w:r>
      <w:r>
        <w:rPr>
          <w:rFonts w:hint="eastAsia" w:ascii="仿宋" w:hAnsi="仿宋" w:eastAsia="仿宋" w:cs="仿宋"/>
        </w:rPr>
        <w:t>反映拟订并组织实施国民经济和社会发展战略、中长期规划和年度计划，实施宏观管理与调控等方面的支出。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十一、一般公共服务支出(类)发展与改革事务(款)日常经济运行调节(项)</w:t>
      </w:r>
      <w:r>
        <w:rPr>
          <w:rFonts w:ascii="仿宋" w:hAnsi="仿宋" w:cs="仿宋" w:eastAsia="仿宋"/>
          <w:b w:val="true"/>
        </w:rPr>
        <w:t>：</w:t>
      </w:r>
      <w:r>
        <w:rPr>
          <w:rFonts w:hint="eastAsia" w:ascii="仿宋" w:hAnsi="仿宋" w:eastAsia="仿宋" w:cs="仿宋"/>
        </w:rPr>
        <w:t>反映日常经济运行调节方面的支出。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十二、一般公共服务支出(类)发展与改革事务(款)社会事业发展规划(项)</w:t>
      </w:r>
      <w:r>
        <w:rPr>
          <w:rFonts w:ascii="仿宋" w:hAnsi="仿宋" w:cs="仿宋" w:eastAsia="仿宋"/>
          <w:b w:val="true"/>
        </w:rPr>
        <w:t>：</w:t>
      </w:r>
      <w:r>
        <w:rPr>
          <w:rFonts w:hint="eastAsia" w:ascii="仿宋" w:hAnsi="仿宋" w:eastAsia="仿宋" w:cs="仿宋"/>
        </w:rPr>
        <w:t>反映社会事业发展规划方面的支出。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十三、一般公共服务支出(类)发展与改革事务(款)物价管理(项)</w:t>
      </w:r>
      <w:r>
        <w:rPr>
          <w:rFonts w:ascii="仿宋" w:hAnsi="仿宋" w:cs="仿宋" w:eastAsia="仿宋"/>
          <w:b w:val="true"/>
        </w:rPr>
        <w:t>：</w:t>
      </w:r>
      <w:r>
        <w:rPr>
          <w:rFonts w:hint="eastAsia" w:ascii="仿宋" w:hAnsi="仿宋" w:eastAsia="仿宋" w:cs="仿宋"/>
        </w:rPr>
        <w:t>反映物价管理方面的支出。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十四、一般公共服务支出(类)发展与改革事务(款)其他发展与改革事务支出(项)</w:t>
      </w:r>
      <w:r>
        <w:rPr>
          <w:rFonts w:ascii="仿宋" w:hAnsi="仿宋" w:cs="仿宋" w:eastAsia="仿宋"/>
          <w:b w:val="true"/>
        </w:rPr>
        <w:t>：</w:t>
      </w:r>
      <w:r>
        <w:rPr>
          <w:rFonts w:hint="eastAsia" w:ascii="仿宋" w:hAnsi="仿宋" w:eastAsia="仿宋" w:cs="仿宋"/>
        </w:rPr>
        <w:t>反映除上述项目以外的其他发展与改革事务支出。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十五、公共安全支出(类)其他公共安全支出(款)其他公共安全支出(项)</w:t>
      </w:r>
      <w:r>
        <w:rPr>
          <w:rFonts w:ascii="仿宋" w:hAnsi="仿宋" w:cs="仿宋" w:eastAsia="仿宋"/>
          <w:b w:val="true"/>
        </w:rPr>
        <w:t>：</w:t>
      </w:r>
      <w:r>
        <w:rPr>
          <w:rFonts w:hint="eastAsia" w:ascii="仿宋" w:hAnsi="仿宋" w:eastAsia="仿宋" w:cs="仿宋"/>
        </w:rPr>
        <w:t>反映除上述项目以外其他用于公共安全方面的支出。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十六、科学技术支出(类)其他科学技术支出(款)其他科学技术支出(项)</w:t>
      </w:r>
      <w:r>
        <w:rPr>
          <w:rFonts w:ascii="仿宋" w:hAnsi="仿宋" w:cs="仿宋" w:eastAsia="仿宋"/>
          <w:b w:val="true"/>
        </w:rPr>
        <w:t>：</w:t>
      </w:r>
      <w:r>
        <w:rPr>
          <w:rFonts w:hint="eastAsia" w:ascii="仿宋" w:hAnsi="仿宋" w:eastAsia="仿宋" w:cs="仿宋"/>
        </w:rPr>
        <w:t>反映其他科学技术支出中除以上各项外用于科技方面的支出。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南京市栖霞区发展和改革委员会</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48</TotalTime>
  <ScaleCrop>false</ScaleCrop>
  <LinksUpToDate>false</LinksUpToDate>
  <CharactersWithSpaces>7399</CharactersWithSpaces>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有光的地方</cp:lastModifiedBy>
  <dcterms:modified xsi:type="dcterms:W3CDTF">2022-02-09T14:56:23Z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2052-11.1.0.11294</vt:lpwstr>
  </property>
  <property fmtid="{D5CDD505-2E9C-101B-9397-08002B2CF9AE}" pid="6" name="LastSaved">
    <vt:filetime>2021-04-15T00:00:00Z</vt:filetime>
  </property>
</Properties>
</file>