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06853">
      <w:pPr>
        <w:keepNext w:val="0"/>
        <w:keepLines w:val="0"/>
        <w:pageBreakBefore w:val="0"/>
        <w:kinsoku/>
        <w:wordWrap/>
        <w:overflowPunct/>
        <w:topLinePunct w:val="0"/>
        <w:autoSpaceDE/>
        <w:autoSpaceDN/>
        <w:bidi w:val="0"/>
        <w:spacing w:line="520" w:lineRule="exact"/>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附件1：</w:t>
      </w:r>
    </w:p>
    <w:p w14:paraId="1AEA72A9">
      <w:pPr>
        <w:keepNext w:val="0"/>
        <w:keepLines w:val="0"/>
        <w:pageBreakBefore w:val="0"/>
        <w:kinsoku/>
        <w:wordWrap/>
        <w:overflowPunct/>
        <w:topLinePunct w:val="0"/>
        <w:autoSpaceDE/>
        <w:autoSpaceDN/>
        <w:bidi w:val="0"/>
        <w:adjustRightInd/>
        <w:spacing w:line="560" w:lineRule="exact"/>
        <w:jc w:val="center"/>
        <w:textAlignment w:val="baseline"/>
        <w:rPr>
          <w:rFonts w:hint="eastAsia" w:ascii="Times New Roman" w:hAnsi="Times New Roman" w:eastAsia="方正小标宋简体" w:cs="Times New Roman"/>
          <w:color w:val="auto"/>
          <w:sz w:val="44"/>
          <w:szCs w:val="44"/>
        </w:rPr>
      </w:pPr>
      <w:r>
        <w:rPr>
          <w:rFonts w:hint="eastAsia" w:ascii="Times New Roman" w:hAnsi="Times New Roman" w:eastAsia="方正小标宋简体" w:cs="Times New Roman"/>
          <w:color w:val="auto"/>
          <w:sz w:val="44"/>
          <w:szCs w:val="44"/>
        </w:rPr>
        <w:t>栖霞区2025年第一批省级现代农业发展补助专项资金项目实施意见</w:t>
      </w:r>
    </w:p>
    <w:p w14:paraId="4FC0BDE5">
      <w:pPr>
        <w:keepNext w:val="0"/>
        <w:keepLines w:val="0"/>
        <w:pageBreakBefore w:val="0"/>
        <w:kinsoku/>
        <w:wordWrap/>
        <w:overflowPunct/>
        <w:topLinePunct w:val="0"/>
        <w:autoSpaceDE/>
        <w:autoSpaceDN/>
        <w:bidi w:val="0"/>
        <w:spacing w:line="520" w:lineRule="exact"/>
        <w:ind w:firstLine="640" w:firstLineChars="200"/>
        <w:textAlignment w:val="auto"/>
        <w:rPr>
          <w:rFonts w:ascii="Times New Roman" w:hAnsi="Times New Roman" w:eastAsia="方正仿宋_GBK"/>
          <w:sz w:val="32"/>
          <w:szCs w:val="32"/>
        </w:rPr>
      </w:pPr>
    </w:p>
    <w:p w14:paraId="70E2C545">
      <w:pPr>
        <w:spacing w:line="520" w:lineRule="exact"/>
        <w:jc w:val="center"/>
        <w:rPr>
          <w:rFonts w:ascii="方正小标宋简体" w:hAnsi="方正小标宋简体" w:eastAsia="方正小标宋简体" w:cs="方正小标宋简体"/>
          <w:sz w:val="44"/>
          <w:szCs w:val="44"/>
        </w:rPr>
      </w:pPr>
      <w:r>
        <w:rPr>
          <w:rFonts w:hint="eastAsia" w:ascii="Times New Roman" w:hAnsi="Times New Roman" w:eastAsia="方正小标宋简体" w:cs="Times New Roman"/>
          <w:color w:val="auto"/>
          <w:sz w:val="44"/>
          <w:szCs w:val="44"/>
        </w:rPr>
        <w:t>2025</w:t>
      </w:r>
      <w:r>
        <w:rPr>
          <w:rFonts w:hint="eastAsia" w:ascii="Times New Roman" w:hAnsi="Times New Roman" w:eastAsia="方正小标宋简体" w:cs="Times New Roman"/>
          <w:color w:val="auto"/>
          <w:sz w:val="44"/>
          <w:szCs w:val="44"/>
          <w:lang w:val="en-US" w:eastAsia="zh-CN"/>
        </w:rPr>
        <w:t>年</w:t>
      </w:r>
      <w:r>
        <w:rPr>
          <w:rFonts w:hint="eastAsia" w:ascii="Times New Roman" w:hAnsi="Times New Roman" w:eastAsia="方正小标宋简体" w:cs="Times New Roman"/>
          <w:color w:val="auto"/>
          <w:sz w:val="44"/>
          <w:szCs w:val="44"/>
        </w:rPr>
        <w:t>省级</w:t>
      </w:r>
      <w:r>
        <w:rPr>
          <w:rFonts w:hint="eastAsia" w:ascii="方正小标宋简体" w:hAnsi="方正小标宋简体" w:eastAsia="方正小标宋简体" w:cs="方正小标宋简体"/>
          <w:sz w:val="44"/>
          <w:szCs w:val="44"/>
        </w:rPr>
        <w:t>现代农业发展补助专项——粮食作物重大病虫疫情防治（农药使用强度调查）实施指导意见</w:t>
      </w:r>
    </w:p>
    <w:p w14:paraId="05BB535C">
      <w:pPr>
        <w:numPr>
          <w:ilvl w:val="0"/>
          <w:numId w:val="1"/>
        </w:numPr>
        <w:spacing w:line="520" w:lineRule="exact"/>
        <w:ind w:left="638" w:leftChars="304"/>
        <w:rPr>
          <w:rFonts w:hint="eastAsia" w:ascii="黑体" w:hAnsi="黑体" w:eastAsia="黑体" w:cs="黑体"/>
          <w:sz w:val="32"/>
          <w:szCs w:val="32"/>
        </w:rPr>
      </w:pPr>
      <w:r>
        <w:rPr>
          <w:rFonts w:hint="eastAsia" w:ascii="黑体" w:hAnsi="黑体" w:eastAsia="黑体" w:cs="黑体"/>
          <w:sz w:val="32"/>
          <w:szCs w:val="32"/>
        </w:rPr>
        <w:t>指导性任务</w:t>
      </w:r>
    </w:p>
    <w:p w14:paraId="4C65A3EE">
      <w:pPr>
        <w:spacing w:line="520" w:lineRule="exact"/>
        <w:ind w:firstLine="640" w:firstLineChars="200"/>
        <w:rPr>
          <w:rFonts w:eastAsia="方正仿宋_GBK" w:cs="方正仿宋_GBK"/>
          <w:color w:val="000000"/>
          <w:sz w:val="32"/>
          <w:szCs w:val="32"/>
        </w:rPr>
      </w:pPr>
      <w:r>
        <w:rPr>
          <w:rFonts w:hint="eastAsia" w:eastAsia="方正仿宋_GBK" w:cs="方正仿宋_GBK"/>
          <w:color w:val="000000"/>
          <w:sz w:val="32"/>
          <w:szCs w:val="32"/>
        </w:rPr>
        <w:t>按照农业农村部对农药使用强度调查系统的要求，对我区</w:t>
      </w:r>
      <w:r>
        <w:rPr>
          <w:rFonts w:eastAsia="方正仿宋_GBK" w:cs="方正仿宋_GBK"/>
          <w:color w:val="000000"/>
          <w:sz w:val="32"/>
          <w:szCs w:val="32"/>
        </w:rPr>
        <w:t>50</w:t>
      </w:r>
      <w:r>
        <w:rPr>
          <w:rFonts w:hint="eastAsia" w:eastAsia="方正仿宋_GBK" w:cs="方正仿宋_GBK"/>
          <w:color w:val="000000"/>
          <w:sz w:val="32"/>
          <w:szCs w:val="32"/>
        </w:rPr>
        <w:t>户种植户，202</w:t>
      </w:r>
      <w:r>
        <w:rPr>
          <w:rFonts w:eastAsia="方正仿宋_GBK" w:cs="方正仿宋_GBK"/>
          <w:color w:val="000000"/>
          <w:sz w:val="32"/>
          <w:szCs w:val="32"/>
        </w:rPr>
        <w:t>5</w:t>
      </w:r>
      <w:r>
        <w:rPr>
          <w:rFonts w:hint="eastAsia" w:eastAsia="方正仿宋_GBK" w:cs="方正仿宋_GBK"/>
          <w:color w:val="000000"/>
          <w:sz w:val="32"/>
          <w:szCs w:val="32"/>
        </w:rPr>
        <w:t>年全年农药使用情况完成调查。</w:t>
      </w:r>
      <w:r>
        <w:rPr>
          <w:rFonts w:eastAsia="方正仿宋_GBK" w:cs="方正仿宋_GBK"/>
          <w:color w:val="000000"/>
          <w:sz w:val="32"/>
          <w:szCs w:val="32"/>
        </w:rPr>
        <w:t>50</w:t>
      </w:r>
      <w:r>
        <w:rPr>
          <w:rFonts w:hint="eastAsia" w:eastAsia="方正仿宋_GBK" w:cs="方正仿宋_GBK"/>
          <w:color w:val="000000"/>
          <w:sz w:val="32"/>
          <w:szCs w:val="32"/>
        </w:rPr>
        <w:t>户种植户中龙潭街道</w:t>
      </w:r>
      <w:r>
        <w:rPr>
          <w:rFonts w:eastAsia="方正仿宋_GBK" w:cs="方正仿宋_GBK"/>
          <w:color w:val="000000"/>
          <w:sz w:val="32"/>
          <w:szCs w:val="32"/>
        </w:rPr>
        <w:t>30</w:t>
      </w:r>
      <w:r>
        <w:rPr>
          <w:rFonts w:hint="eastAsia" w:eastAsia="方正仿宋_GBK" w:cs="方正仿宋_GBK"/>
          <w:color w:val="000000"/>
          <w:sz w:val="32"/>
          <w:szCs w:val="32"/>
        </w:rPr>
        <w:t>户、八卦洲街道20户。</w:t>
      </w:r>
    </w:p>
    <w:p w14:paraId="2C63D489">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二、工作目标</w:t>
      </w:r>
    </w:p>
    <w:p w14:paraId="207E8332">
      <w:pPr>
        <w:spacing w:line="520" w:lineRule="exact"/>
        <w:ind w:firstLine="640" w:firstLineChars="200"/>
        <w:rPr>
          <w:rFonts w:hint="eastAsia" w:eastAsia="方正仿宋_GBK" w:cs="方正仿宋_GBK"/>
          <w:color w:val="000000"/>
          <w:sz w:val="32"/>
          <w:szCs w:val="32"/>
        </w:rPr>
      </w:pPr>
      <w:r>
        <w:rPr>
          <w:rFonts w:hint="eastAsia" w:eastAsia="方正仿宋_GBK" w:cs="方正仿宋_GBK"/>
          <w:color w:val="000000"/>
          <w:sz w:val="32"/>
          <w:szCs w:val="32"/>
        </w:rPr>
        <w:t>通过调查以点代面了解全区农药实际使用状况；摸清主要农作物上农药使用结构；掌握单位耕地面积农药使用量；科学研判农民用药水平；分析存在的主要问题；为科学用药提供依据。</w:t>
      </w:r>
    </w:p>
    <w:p w14:paraId="275FE5AE">
      <w:pPr>
        <w:spacing w:line="520" w:lineRule="exact"/>
        <w:ind w:left="638"/>
        <w:rPr>
          <w:rFonts w:ascii="黑体" w:hAnsi="黑体" w:eastAsia="黑体" w:cs="黑体"/>
          <w:sz w:val="32"/>
          <w:szCs w:val="32"/>
        </w:rPr>
      </w:pPr>
      <w:r>
        <w:rPr>
          <w:rFonts w:hint="eastAsia" w:ascii="黑体" w:hAnsi="黑体" w:eastAsia="黑体" w:cs="黑体"/>
          <w:sz w:val="32"/>
          <w:szCs w:val="32"/>
        </w:rPr>
        <w:t>三、工作内容</w:t>
      </w:r>
    </w:p>
    <w:p w14:paraId="53A044FF">
      <w:pPr>
        <w:spacing w:line="520" w:lineRule="exact"/>
        <w:ind w:firstLine="640" w:firstLineChars="200"/>
        <w:rPr>
          <w:rFonts w:hint="eastAsia" w:eastAsia="方正仿宋_GBK" w:cs="方正仿宋_GBK"/>
          <w:color w:val="000000"/>
          <w:sz w:val="32"/>
          <w:szCs w:val="32"/>
        </w:rPr>
      </w:pPr>
      <w:r>
        <w:rPr>
          <w:rFonts w:hint="eastAsia" w:eastAsia="方正仿宋_GBK" w:cs="方正仿宋_GBK"/>
          <w:color w:val="000000"/>
          <w:sz w:val="32"/>
          <w:szCs w:val="32"/>
        </w:rPr>
        <w:t>完成农药使用强度监测系统填报。调查</w:t>
      </w:r>
      <w:r>
        <w:rPr>
          <w:rFonts w:eastAsia="方正仿宋_GBK" w:cs="方正仿宋_GBK"/>
          <w:color w:val="000000"/>
          <w:sz w:val="32"/>
          <w:szCs w:val="32"/>
        </w:rPr>
        <w:t>50</w:t>
      </w:r>
      <w:r>
        <w:rPr>
          <w:rFonts w:hint="eastAsia" w:eastAsia="方正仿宋_GBK" w:cs="方正仿宋_GBK"/>
          <w:color w:val="000000"/>
          <w:sz w:val="32"/>
          <w:szCs w:val="32"/>
        </w:rPr>
        <w:t>户种植户农药使用情况，获取地块面积、农药种类、施药数量、施药时间等信息，每一户建立台账。</w:t>
      </w:r>
    </w:p>
    <w:p w14:paraId="0A761187">
      <w:pPr>
        <w:spacing w:line="520" w:lineRule="exact"/>
        <w:ind w:firstLine="640" w:firstLineChars="200"/>
        <w:rPr>
          <w:rFonts w:hint="eastAsia" w:eastAsia="方正仿宋_GBK" w:cs="方正仿宋_GBK"/>
          <w:color w:val="000000"/>
          <w:sz w:val="32"/>
          <w:szCs w:val="32"/>
        </w:rPr>
      </w:pPr>
      <w:r>
        <w:rPr>
          <w:rFonts w:hint="eastAsia" w:eastAsia="方正仿宋_GBK" w:cs="方正仿宋_GBK"/>
          <w:color w:val="000000"/>
          <w:sz w:val="32"/>
          <w:szCs w:val="32"/>
        </w:rPr>
        <w:t>根据调查工作相关方案，按要求填写相关表格，确保数据真实可靠；在充分分析调查数据的基础上，撰写栖霞区农作物农药使用情况调查报告。</w:t>
      </w:r>
    </w:p>
    <w:p w14:paraId="67F60B5F">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四、资金补助标准</w:t>
      </w:r>
    </w:p>
    <w:p w14:paraId="2E97B86A">
      <w:pPr>
        <w:spacing w:line="520" w:lineRule="exact"/>
        <w:rPr>
          <w:rFonts w:eastAsia="方正仿宋_GBK" w:cs="方正仿宋_GBK"/>
          <w:color w:val="000000"/>
          <w:sz w:val="32"/>
          <w:szCs w:val="32"/>
        </w:rPr>
      </w:pPr>
      <w:r>
        <w:rPr>
          <w:rFonts w:hint="eastAsia"/>
        </w:rPr>
        <w:t xml:space="preserve">  </w:t>
      </w:r>
      <w:r>
        <w:rPr>
          <w:rFonts w:hint="eastAsia" w:eastAsia="方正仿宋_GBK" w:cs="方正仿宋_GBK"/>
          <w:color w:val="000000"/>
          <w:sz w:val="32"/>
          <w:szCs w:val="32"/>
        </w:rPr>
        <w:t xml:space="preserve">  全区共计</w:t>
      </w:r>
      <w:r>
        <w:rPr>
          <w:rFonts w:eastAsia="方正仿宋_GBK" w:cs="方正仿宋_GBK"/>
          <w:color w:val="000000"/>
          <w:sz w:val="32"/>
          <w:szCs w:val="32"/>
        </w:rPr>
        <w:t>5</w:t>
      </w:r>
      <w:r>
        <w:rPr>
          <w:rFonts w:hint="eastAsia" w:eastAsia="方正仿宋_GBK" w:cs="方正仿宋_GBK"/>
          <w:color w:val="000000"/>
          <w:sz w:val="32"/>
          <w:szCs w:val="32"/>
        </w:rPr>
        <w:t>万元。</w:t>
      </w:r>
    </w:p>
    <w:p w14:paraId="66067F04">
      <w:pPr>
        <w:rPr>
          <w:rFonts w:hint="default" w:ascii="仿宋" w:hAnsi="仿宋" w:eastAsia="仿宋"/>
          <w:sz w:val="32"/>
          <w:szCs w:val="32"/>
          <w:lang w:val="en-US" w:eastAsia="zh-CN"/>
        </w:rPr>
      </w:pPr>
      <w:r>
        <w:rPr>
          <w:rFonts w:hint="default" w:ascii="仿宋" w:hAnsi="仿宋" w:eastAsia="仿宋"/>
          <w:sz w:val="32"/>
          <w:szCs w:val="32"/>
          <w:lang w:val="en-US" w:eastAsia="zh-CN"/>
        </w:rPr>
        <w:br w:type="page"/>
      </w:r>
    </w:p>
    <w:p w14:paraId="21B0293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Times New Roman" w:hAnsi="Times New Roman" w:eastAsia="方正小标宋简体" w:cs="Times New Roman"/>
          <w:color w:val="auto"/>
          <w:sz w:val="44"/>
          <w:szCs w:val="44"/>
        </w:rPr>
        <w:t>2025年省</w:t>
      </w:r>
      <w:r>
        <w:rPr>
          <w:rFonts w:hint="eastAsia" w:ascii="方正小标宋简体" w:hAnsi="方正小标宋简体" w:eastAsia="方正小标宋简体" w:cs="方正小标宋简体"/>
          <w:sz w:val="44"/>
          <w:szCs w:val="44"/>
        </w:rPr>
        <w:t>级现代农业发展补助专项——粮食及重要农产品生产应急救灾（小麦“一喷三防”）实施指导意见</w:t>
      </w:r>
    </w:p>
    <w:p w14:paraId="5C96F893">
      <w:pPr>
        <w:keepNext w:val="0"/>
        <w:keepLines w:val="0"/>
        <w:pageBreakBefore w:val="0"/>
        <w:widowControl w:val="0"/>
        <w:kinsoku/>
        <w:wordWrap/>
        <w:overflowPunct/>
        <w:topLinePunct w:val="0"/>
        <w:autoSpaceDE/>
        <w:autoSpaceDN/>
        <w:bidi w:val="0"/>
        <w:adjustRightInd/>
        <w:snapToGrid/>
        <w:spacing w:line="520" w:lineRule="exact"/>
        <w:ind w:firstLine="440" w:firstLineChars="100"/>
        <w:jc w:val="center"/>
        <w:textAlignment w:val="auto"/>
        <w:rPr>
          <w:rFonts w:ascii="方正小标宋简体" w:hAnsi="方正小标宋简体" w:eastAsia="方正小标宋简体" w:cs="方正小标宋简体"/>
          <w:sz w:val="44"/>
          <w:szCs w:val="44"/>
        </w:rPr>
      </w:pPr>
    </w:p>
    <w:p w14:paraId="14C4EDEC">
      <w:pPr>
        <w:keepNext w:val="0"/>
        <w:keepLines w:val="0"/>
        <w:pageBreakBefore w:val="0"/>
        <w:widowControl w:val="0"/>
        <w:kinsoku/>
        <w:wordWrap/>
        <w:overflowPunct/>
        <w:topLinePunct w:val="0"/>
        <w:autoSpaceDE/>
        <w:autoSpaceDN/>
        <w:bidi w:val="0"/>
        <w:adjustRightInd/>
        <w:snapToGrid/>
        <w:spacing w:line="520" w:lineRule="exact"/>
        <w:ind w:left="638"/>
        <w:textAlignment w:val="auto"/>
        <w:rPr>
          <w:rFonts w:ascii="黑体" w:hAnsi="黑体" w:eastAsia="黑体" w:cs="黑体"/>
          <w:sz w:val="32"/>
          <w:szCs w:val="32"/>
        </w:rPr>
      </w:pPr>
      <w:r>
        <w:rPr>
          <w:rFonts w:hint="eastAsia" w:ascii="黑体" w:hAnsi="黑体" w:eastAsia="黑体" w:cs="黑体"/>
          <w:sz w:val="32"/>
          <w:szCs w:val="32"/>
        </w:rPr>
        <w:t>一、指导性任务</w:t>
      </w:r>
    </w:p>
    <w:p w14:paraId="0E4CBFA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eastAsia="方正仿宋_GBK" w:cs="方正仿宋_GBK"/>
          <w:color w:val="000000"/>
          <w:sz w:val="32"/>
          <w:szCs w:val="32"/>
        </w:rPr>
      </w:pPr>
      <w:r>
        <w:rPr>
          <w:rFonts w:hint="eastAsia" w:eastAsia="方正仿宋_GBK" w:cs="方正仿宋_GBK"/>
          <w:color w:val="000000"/>
          <w:sz w:val="32"/>
          <w:szCs w:val="32"/>
        </w:rPr>
        <w:t>根据工作要求，支持粮食及重要农产品生产应急救灾（小麦“一喷三防”）工作。</w:t>
      </w:r>
    </w:p>
    <w:p w14:paraId="699BBD3A">
      <w:pPr>
        <w:keepNext w:val="0"/>
        <w:keepLines w:val="0"/>
        <w:pageBreakBefore w:val="0"/>
        <w:widowControl w:val="0"/>
        <w:kinsoku/>
        <w:wordWrap/>
        <w:overflowPunct/>
        <w:topLinePunct w:val="0"/>
        <w:autoSpaceDE/>
        <w:autoSpaceDN/>
        <w:bidi w:val="0"/>
        <w:adjustRightInd/>
        <w:snapToGrid/>
        <w:spacing w:line="520" w:lineRule="exact"/>
        <w:ind w:left="638"/>
        <w:textAlignment w:val="auto"/>
        <w:rPr>
          <w:rFonts w:ascii="黑体" w:hAnsi="黑体" w:eastAsia="黑体" w:cs="黑体"/>
          <w:sz w:val="32"/>
          <w:szCs w:val="32"/>
        </w:rPr>
      </w:pPr>
      <w:r>
        <w:rPr>
          <w:rFonts w:hint="eastAsia" w:ascii="黑体" w:hAnsi="黑体" w:eastAsia="黑体" w:cs="黑体"/>
          <w:sz w:val="32"/>
          <w:szCs w:val="32"/>
        </w:rPr>
        <w:t>二、工作目标</w:t>
      </w:r>
    </w:p>
    <w:p w14:paraId="4CEE1F9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eastAsia="方正仿宋_GBK" w:cs="方正仿宋_GBK"/>
          <w:color w:val="000000"/>
          <w:sz w:val="32"/>
          <w:szCs w:val="32"/>
        </w:rPr>
      </w:pPr>
      <w:r>
        <w:rPr>
          <w:rFonts w:hint="eastAsia" w:eastAsia="方正仿宋_GBK" w:cs="方正仿宋_GBK"/>
          <w:color w:val="000000"/>
          <w:sz w:val="32"/>
          <w:szCs w:val="32"/>
        </w:rPr>
        <w:t>为保障粮食及重要农产品有效供给，促进小麦等粮食作物稳产增收，开展小麦赤霉病等重大病虫疫情监测预警、应急防控等。</w:t>
      </w:r>
    </w:p>
    <w:p w14:paraId="4E4A9727">
      <w:pPr>
        <w:keepNext w:val="0"/>
        <w:keepLines w:val="0"/>
        <w:pageBreakBefore w:val="0"/>
        <w:widowControl w:val="0"/>
        <w:kinsoku/>
        <w:wordWrap/>
        <w:overflowPunct/>
        <w:topLinePunct w:val="0"/>
        <w:autoSpaceDE/>
        <w:autoSpaceDN/>
        <w:bidi w:val="0"/>
        <w:adjustRightInd/>
        <w:snapToGrid/>
        <w:spacing w:line="520" w:lineRule="exact"/>
        <w:ind w:left="638"/>
        <w:textAlignment w:val="auto"/>
        <w:rPr>
          <w:rFonts w:ascii="黑体" w:hAnsi="黑体" w:eastAsia="黑体" w:cs="黑体"/>
          <w:sz w:val="32"/>
          <w:szCs w:val="32"/>
        </w:rPr>
      </w:pPr>
      <w:r>
        <w:rPr>
          <w:rFonts w:hint="eastAsia" w:ascii="黑体" w:hAnsi="黑体" w:eastAsia="黑体" w:cs="黑体"/>
          <w:sz w:val="32"/>
          <w:szCs w:val="32"/>
        </w:rPr>
        <w:t>三、工作内容</w:t>
      </w:r>
    </w:p>
    <w:p w14:paraId="7DEB03B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方正仿宋_GBK" w:cs="方正仿宋_GBK"/>
          <w:color w:val="000000"/>
          <w:sz w:val="32"/>
          <w:szCs w:val="32"/>
        </w:rPr>
      </w:pPr>
      <w:r>
        <w:rPr>
          <w:rFonts w:hint="eastAsia" w:eastAsia="方正仿宋_GBK" w:cs="方正仿宋_GBK"/>
          <w:color w:val="000000"/>
          <w:sz w:val="32"/>
          <w:szCs w:val="32"/>
        </w:rPr>
        <w:t>支持粮食及重要农产品生产应急救灾，开展小麦赤霉病等重大病虫</w:t>
      </w:r>
      <w:bookmarkStart w:id="4" w:name="_GoBack"/>
      <w:bookmarkEnd w:id="4"/>
      <w:r>
        <w:rPr>
          <w:rFonts w:hint="eastAsia" w:eastAsia="方正仿宋_GBK" w:cs="方正仿宋_GBK"/>
          <w:color w:val="000000"/>
          <w:sz w:val="32"/>
          <w:szCs w:val="32"/>
        </w:rPr>
        <w:t>疫情防控，配备小麦“一喷三防”药剂，保证全区小麦赤霉病防治用药全覆盖，及时、有效防治小麦重大病虫疫情。</w:t>
      </w:r>
    </w:p>
    <w:p w14:paraId="4AA262F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二、资金补助标准</w:t>
      </w:r>
    </w:p>
    <w:p w14:paraId="15169FE3">
      <w:pPr>
        <w:keepNext w:val="0"/>
        <w:keepLines w:val="0"/>
        <w:pageBreakBefore w:val="0"/>
        <w:widowControl w:val="0"/>
        <w:kinsoku/>
        <w:wordWrap/>
        <w:overflowPunct/>
        <w:topLinePunct w:val="0"/>
        <w:autoSpaceDE/>
        <w:autoSpaceDN/>
        <w:bidi w:val="0"/>
        <w:adjustRightInd/>
        <w:snapToGrid/>
        <w:spacing w:line="520" w:lineRule="exact"/>
        <w:textAlignment w:val="auto"/>
        <w:rPr>
          <w:rFonts w:eastAsia="方正仿宋_GBK" w:cs="方正仿宋_GBK"/>
          <w:color w:val="000000"/>
          <w:sz w:val="32"/>
          <w:szCs w:val="32"/>
        </w:rPr>
      </w:pPr>
      <w:r>
        <w:rPr>
          <w:rFonts w:hint="eastAsia"/>
        </w:rPr>
        <w:t xml:space="preserve">  </w:t>
      </w:r>
      <w:r>
        <w:rPr>
          <w:rFonts w:hint="eastAsia" w:eastAsia="方正仿宋_GBK" w:cs="方正仿宋_GBK"/>
          <w:color w:val="000000"/>
          <w:sz w:val="32"/>
          <w:szCs w:val="32"/>
        </w:rPr>
        <w:t xml:space="preserve">  全区共计</w:t>
      </w:r>
      <w:r>
        <w:rPr>
          <w:rFonts w:eastAsia="方正仿宋_GBK" w:cs="方正仿宋_GBK"/>
          <w:color w:val="000000"/>
          <w:sz w:val="32"/>
          <w:szCs w:val="32"/>
        </w:rPr>
        <w:t>30.31</w:t>
      </w:r>
      <w:r>
        <w:rPr>
          <w:rFonts w:hint="eastAsia" w:eastAsia="方正仿宋_GBK" w:cs="方正仿宋_GBK"/>
          <w:color w:val="000000"/>
          <w:sz w:val="32"/>
          <w:szCs w:val="32"/>
        </w:rPr>
        <w:t>万元。</w:t>
      </w:r>
    </w:p>
    <w:p w14:paraId="3AE82838">
      <w:pPr>
        <w:rPr>
          <w:rFonts w:hint="default" w:ascii="仿宋" w:hAnsi="仿宋" w:eastAsia="仿宋"/>
          <w:sz w:val="32"/>
          <w:szCs w:val="32"/>
          <w:lang w:val="en-US" w:eastAsia="zh-CN"/>
        </w:rPr>
      </w:pPr>
    </w:p>
    <w:p w14:paraId="049482E7">
      <w:pPr>
        <w:rPr>
          <w:rFonts w:hint="default" w:ascii="仿宋" w:hAnsi="仿宋" w:eastAsia="仿宋"/>
          <w:sz w:val="32"/>
          <w:szCs w:val="32"/>
          <w:lang w:val="en-US" w:eastAsia="zh-CN"/>
        </w:rPr>
      </w:pPr>
      <w:r>
        <w:rPr>
          <w:rFonts w:hint="default" w:ascii="仿宋" w:hAnsi="仿宋" w:eastAsia="仿宋"/>
          <w:sz w:val="32"/>
          <w:szCs w:val="32"/>
          <w:lang w:val="en-US" w:eastAsia="zh-CN"/>
        </w:rPr>
        <w:br w:type="page"/>
      </w:r>
    </w:p>
    <w:p w14:paraId="5C1867DF">
      <w:pPr>
        <w:rPr>
          <w:rFonts w:hint="default" w:ascii="仿宋" w:hAnsi="仿宋" w:eastAsia="仿宋"/>
          <w:sz w:val="32"/>
          <w:szCs w:val="32"/>
          <w:lang w:val="en-US" w:eastAsia="zh-CN"/>
        </w:rPr>
      </w:pPr>
    </w:p>
    <w:p w14:paraId="07FACFCF">
      <w:pPr>
        <w:keepNext w:val="0"/>
        <w:keepLines w:val="0"/>
        <w:pageBreakBefore w:val="0"/>
        <w:kinsoku/>
        <w:wordWrap/>
        <w:overflowPunct/>
        <w:topLinePunct w:val="0"/>
        <w:autoSpaceDE/>
        <w:autoSpaceDN/>
        <w:bidi w:val="0"/>
        <w:adjustRightInd/>
        <w:spacing w:line="560" w:lineRule="exact"/>
        <w:jc w:val="center"/>
        <w:rPr>
          <w:rFonts w:hint="default" w:ascii="Times New Roman" w:hAnsi="Times New Roman" w:eastAsia="方正小标宋_GBK"/>
          <w:sz w:val="44"/>
          <w:szCs w:val="44"/>
          <w:lang w:val="en-US" w:eastAsia="zh-CN"/>
        </w:rPr>
      </w:pPr>
      <w:r>
        <w:rPr>
          <w:rFonts w:hint="eastAsia" w:ascii="Times New Roman" w:hAnsi="Times New Roman" w:eastAsia="方正小标宋_GBK"/>
          <w:sz w:val="44"/>
          <w:szCs w:val="44"/>
          <w:lang w:val="en-US" w:eastAsia="zh-CN"/>
        </w:rPr>
        <w:t>省级现代农业发展专项——农机购置与应用补贴工作实施指导意见</w:t>
      </w:r>
    </w:p>
    <w:p w14:paraId="0E2CA8D2">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一、工作内容</w:t>
      </w:r>
    </w:p>
    <w:p w14:paraId="204FB887">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 xml:space="preserve">详见《关于印发&lt;2024-2026年栖霞区农机购置与应用补贴实施工作方案&gt;的通知》 </w:t>
      </w:r>
    </w:p>
    <w:p w14:paraId="42E307B2">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二、资金预算</w:t>
      </w:r>
    </w:p>
    <w:p w14:paraId="673CE5DD">
      <w:pPr>
        <w:keepNext w:val="0"/>
        <w:keepLines w:val="0"/>
        <w:pageBreakBefore w:val="0"/>
        <w:widowControl w:val="0"/>
        <w:kinsoku/>
        <w:wordWrap/>
        <w:overflowPunct/>
        <w:topLinePunct w:val="0"/>
        <w:autoSpaceDE/>
        <w:autoSpaceDN/>
        <w:bidi w:val="0"/>
        <w:adjustRightInd/>
        <w:snapToGrid/>
        <w:spacing w:line="520" w:lineRule="atLeas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全区共计6万元。</w:t>
      </w:r>
    </w:p>
    <w:p w14:paraId="64D865C1">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eastAsia" w:ascii="黑体" w:hAnsi="黑体" w:eastAsia="黑体"/>
          <w:sz w:val="32"/>
          <w:szCs w:val="32"/>
          <w:lang w:eastAsia="zh-CN"/>
        </w:rPr>
      </w:pPr>
      <w:r>
        <w:rPr>
          <w:rFonts w:hint="eastAsia" w:ascii="黑体" w:hAnsi="黑体" w:eastAsia="黑体"/>
          <w:sz w:val="32"/>
          <w:szCs w:val="32"/>
          <w:lang w:val="en-US" w:eastAsia="zh-CN"/>
        </w:rPr>
        <w:t>三</w:t>
      </w:r>
      <w:r>
        <w:rPr>
          <w:rFonts w:hint="eastAsia" w:ascii="黑体" w:hAnsi="黑体" w:eastAsia="黑体"/>
          <w:sz w:val="32"/>
          <w:szCs w:val="32"/>
        </w:rPr>
        <w:t>、</w:t>
      </w:r>
      <w:r>
        <w:rPr>
          <w:rFonts w:hint="eastAsia" w:ascii="黑体" w:hAnsi="黑体" w:eastAsia="黑体"/>
          <w:sz w:val="32"/>
          <w:szCs w:val="32"/>
          <w:lang w:val="en-US" w:eastAsia="zh-CN"/>
        </w:rPr>
        <w:t>绩效目标</w:t>
      </w:r>
    </w:p>
    <w:p w14:paraId="12DD02C0">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default" w:ascii="仿宋" w:hAnsi="仿宋" w:eastAsia="仿宋"/>
          <w:sz w:val="32"/>
          <w:szCs w:val="32"/>
          <w:lang w:val="en-US" w:eastAsia="zh-CN"/>
        </w:rPr>
        <w:sectPr>
          <w:footerReference r:id="rId5" w:type="default"/>
          <w:pgSz w:w="11906" w:h="16838"/>
          <w:pgMar w:top="2098" w:right="1474" w:bottom="1985" w:left="1588" w:header="851" w:footer="992" w:gutter="0"/>
          <w:pgNumType w:fmt="numberInDash"/>
          <w:cols w:space="0" w:num="1"/>
          <w:docGrid w:type="lines" w:linePitch="312" w:charSpace="0"/>
        </w:sectPr>
      </w:pPr>
      <w:r>
        <w:rPr>
          <w:rFonts w:hint="eastAsia" w:ascii="仿宋" w:hAnsi="仿宋" w:eastAsia="仿宋"/>
          <w:sz w:val="32"/>
          <w:szCs w:val="32"/>
          <w:lang w:val="en-US" w:eastAsia="zh-CN"/>
        </w:rPr>
        <w:t>全区共计3台套。</w:t>
      </w:r>
    </w:p>
    <w:p w14:paraId="17397752">
      <w:pPr>
        <w:pStyle w:val="2"/>
        <w:keepNext w:val="0"/>
        <w:keepLines w:val="0"/>
        <w:pageBreakBefore w:val="0"/>
        <w:kinsoku/>
        <w:wordWrap/>
        <w:overflowPunct/>
        <w:topLinePunct w:val="0"/>
        <w:autoSpaceDE/>
        <w:autoSpaceDN/>
        <w:bidi w:val="0"/>
        <w:spacing w:line="520" w:lineRule="exact"/>
        <w:ind w:left="0" w:leftChars="0" w:firstLine="0" w:firstLineChars="0"/>
        <w:jc w:val="center"/>
        <w:textAlignment w:val="auto"/>
        <w:rPr>
          <w:rFonts w:hint="eastAsia" w:ascii="Times New Roman" w:hAnsi="Times New Roman" w:eastAsia="方正小标宋简体"/>
          <w:sz w:val="44"/>
          <w:szCs w:val="44"/>
        </w:rPr>
      </w:pPr>
      <w:r>
        <w:rPr>
          <w:rFonts w:hint="eastAsia" w:ascii="Times New Roman" w:hAnsi="Times New Roman" w:eastAsia="方正小标宋简体"/>
          <w:sz w:val="44"/>
          <w:szCs w:val="44"/>
        </w:rPr>
        <w:t>2</w:t>
      </w:r>
      <w:r>
        <w:rPr>
          <w:rFonts w:ascii="Times New Roman" w:hAnsi="Times New Roman" w:eastAsia="方正小标宋简体"/>
          <w:sz w:val="44"/>
          <w:szCs w:val="44"/>
        </w:rPr>
        <w:t>02</w:t>
      </w:r>
      <w:r>
        <w:rPr>
          <w:rFonts w:hint="eastAsia" w:eastAsia="方正小标宋简体"/>
          <w:sz w:val="44"/>
          <w:szCs w:val="44"/>
          <w:lang w:val="en-US" w:eastAsia="zh-CN"/>
        </w:rPr>
        <w:t>5</w:t>
      </w:r>
      <w:r>
        <w:rPr>
          <w:rFonts w:hint="eastAsia" w:ascii="Times New Roman" w:hAnsi="Times New Roman" w:eastAsia="方正小标宋简体"/>
          <w:sz w:val="44"/>
          <w:szCs w:val="44"/>
        </w:rPr>
        <w:t>年</w:t>
      </w:r>
      <w:r>
        <w:rPr>
          <w:rFonts w:hint="eastAsia" w:eastAsia="方正小标宋简体"/>
          <w:sz w:val="44"/>
          <w:szCs w:val="44"/>
          <w:lang w:val="en-US" w:eastAsia="zh-CN"/>
        </w:rPr>
        <w:t>省级</w:t>
      </w:r>
      <w:r>
        <w:rPr>
          <w:rFonts w:hint="eastAsia" w:ascii="Times New Roman" w:hAnsi="Times New Roman" w:eastAsia="方正小标宋简体"/>
          <w:sz w:val="44"/>
          <w:szCs w:val="44"/>
        </w:rPr>
        <w:t>现代农业发展</w:t>
      </w:r>
      <w:r>
        <w:rPr>
          <w:rFonts w:hint="eastAsia" w:eastAsia="方正小标宋简体"/>
          <w:sz w:val="44"/>
          <w:szCs w:val="44"/>
          <w:lang w:val="en-US" w:eastAsia="zh-CN"/>
        </w:rPr>
        <w:t>补助</w:t>
      </w:r>
      <w:r>
        <w:rPr>
          <w:rFonts w:hint="eastAsia" w:ascii="Times New Roman" w:hAnsi="Times New Roman" w:eastAsia="方正小标宋简体"/>
          <w:sz w:val="44"/>
          <w:szCs w:val="44"/>
        </w:rPr>
        <w:t>专项——</w:t>
      </w:r>
    </w:p>
    <w:p w14:paraId="48CA1A66">
      <w:pPr>
        <w:pStyle w:val="2"/>
        <w:keepNext w:val="0"/>
        <w:keepLines w:val="0"/>
        <w:pageBreakBefore w:val="0"/>
        <w:kinsoku/>
        <w:wordWrap/>
        <w:overflowPunct/>
        <w:topLinePunct w:val="0"/>
        <w:autoSpaceDE/>
        <w:autoSpaceDN/>
        <w:bidi w:val="0"/>
        <w:spacing w:line="520" w:lineRule="exact"/>
        <w:ind w:left="0" w:leftChars="0" w:firstLine="0" w:firstLineChars="0"/>
        <w:jc w:val="center"/>
        <w:textAlignment w:val="auto"/>
        <w:rPr>
          <w:rFonts w:hint="eastAsia" w:ascii="Times New Roman" w:hAnsi="Times New Roman" w:eastAsia="方正小标宋简体"/>
          <w:sz w:val="44"/>
          <w:szCs w:val="44"/>
        </w:rPr>
      </w:pPr>
      <w:r>
        <w:rPr>
          <w:rFonts w:hint="eastAsia" w:eastAsia="方正小标宋简体"/>
          <w:sz w:val="44"/>
          <w:szCs w:val="44"/>
          <w:lang w:val="en-US" w:eastAsia="zh-CN"/>
        </w:rPr>
        <w:t>秸秆综合利用</w:t>
      </w:r>
      <w:r>
        <w:rPr>
          <w:rFonts w:hint="eastAsia" w:ascii="Times New Roman" w:hAnsi="Times New Roman" w:eastAsia="方正小标宋简体"/>
          <w:sz w:val="44"/>
          <w:szCs w:val="44"/>
        </w:rPr>
        <w:t>实施指导意见</w:t>
      </w:r>
    </w:p>
    <w:p w14:paraId="20521C96">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Times New Roman" w:hAnsi="Times New Roman" w:eastAsia="方正仿宋_GBK"/>
          <w:sz w:val="32"/>
          <w:szCs w:val="32"/>
        </w:rPr>
      </w:pPr>
    </w:p>
    <w:p w14:paraId="7C753271">
      <w:pPr>
        <w:keepNext w:val="0"/>
        <w:keepLines w:val="0"/>
        <w:pageBreakBefore w:val="0"/>
        <w:numPr>
          <w:ilvl w:val="0"/>
          <w:numId w:val="2"/>
        </w:numPr>
        <w:kinsoku/>
        <w:wordWrap/>
        <w:overflowPunct/>
        <w:topLinePunct w:val="0"/>
        <w:autoSpaceDE/>
        <w:autoSpaceDN/>
        <w:bidi w:val="0"/>
        <w:spacing w:line="520" w:lineRule="exact"/>
        <w:ind w:firstLine="640" w:firstLineChars="200"/>
        <w:textAlignment w:val="auto"/>
        <w:rPr>
          <w:rFonts w:hint="eastAsia" w:ascii="Times New Roman" w:hAnsi="Times New Roman" w:eastAsia="黑体"/>
          <w:sz w:val="32"/>
          <w:szCs w:val="32"/>
        </w:rPr>
      </w:pPr>
      <w:r>
        <w:rPr>
          <w:rFonts w:hint="eastAsia" w:ascii="Times New Roman" w:hAnsi="Times New Roman" w:eastAsia="黑体"/>
          <w:sz w:val="32"/>
          <w:szCs w:val="32"/>
          <w:lang w:val="en-US" w:eastAsia="zh-CN"/>
        </w:rPr>
        <w:t>支持环节</w:t>
      </w:r>
    </w:p>
    <w:p w14:paraId="332771A0">
      <w:pPr>
        <w:keepNext w:val="0"/>
        <w:keepLines w:val="0"/>
        <w:pageBreakBefore w:val="0"/>
        <w:widowControl w:val="0"/>
        <w:kinsoku/>
        <w:wordWrap/>
        <w:overflowPunct/>
        <w:topLinePunct w:val="0"/>
        <w:autoSpaceDE/>
        <w:autoSpaceDN/>
        <w:bidi w:val="0"/>
        <w:adjustRightInd/>
        <w:snapToGrid/>
        <w:spacing w:line="480" w:lineRule="exact"/>
        <w:ind w:left="200" w:right="0" w:rightChars="0" w:firstLine="640" w:firstLineChars="200"/>
        <w:jc w:val="both"/>
        <w:textAlignment w:val="auto"/>
        <w:outlineLvl w:val="9"/>
        <w:rPr>
          <w:rFonts w:hint="eastAsia" w:ascii="Times New Roman" w:hAnsi="Times New Roman" w:eastAsia="方正仿宋_GBK"/>
          <w:sz w:val="32"/>
          <w:szCs w:val="32"/>
          <w:lang w:val="en-US" w:eastAsia="zh-CN"/>
        </w:rPr>
      </w:pPr>
      <w:r>
        <w:rPr>
          <w:rFonts w:hint="eastAsia" w:ascii="Times New Roman" w:hAnsi="Times New Roman" w:eastAsia="方正仿宋_GBK"/>
          <w:color w:val="000000"/>
          <w:sz w:val="32"/>
          <w:szCs w:val="32"/>
          <w:highlight w:val="none"/>
          <w:lang w:val="en-US" w:eastAsia="zh-CN"/>
        </w:rPr>
        <w:t>根据要求，开展全区农作物秸秆机械化还田、收储与多种形式利用补助工作。</w:t>
      </w:r>
    </w:p>
    <w:p w14:paraId="24B1D543">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Times New Roman" w:hAnsi="Times New Roman" w:eastAsia="黑体" w:cs="黑体"/>
          <w:b w:val="0"/>
          <w:bCs w:val="0"/>
          <w:kern w:val="2"/>
          <w:sz w:val="32"/>
          <w:szCs w:val="32"/>
          <w:lang w:val="en-US" w:eastAsia="zh-CN" w:bidi="ar-SA"/>
        </w:rPr>
      </w:pPr>
      <w:r>
        <w:rPr>
          <w:rFonts w:hint="eastAsia" w:ascii="Times New Roman" w:hAnsi="Times New Roman" w:eastAsia="黑体" w:cs="黑体"/>
          <w:b w:val="0"/>
          <w:bCs w:val="0"/>
          <w:kern w:val="2"/>
          <w:sz w:val="32"/>
          <w:szCs w:val="32"/>
          <w:lang w:val="en-US" w:eastAsia="zh-CN" w:bidi="ar-SA"/>
        </w:rPr>
        <w:t>二、秸秆机械化还田</w:t>
      </w:r>
    </w:p>
    <w:p w14:paraId="147006B2">
      <w:pPr>
        <w:keepNext w:val="0"/>
        <w:keepLines w:val="0"/>
        <w:pageBreakBefore w:val="0"/>
        <w:widowControl w:val="0"/>
        <w:kinsoku/>
        <w:wordWrap/>
        <w:overflowPunct/>
        <w:topLinePunct w:val="0"/>
        <w:autoSpaceDE/>
        <w:autoSpaceDN/>
        <w:bidi w:val="0"/>
        <w:adjustRightInd/>
        <w:snapToGrid/>
        <w:spacing w:line="480" w:lineRule="exact"/>
        <w:ind w:left="200" w:right="0" w:rightChars="0" w:firstLine="640" w:firstLineChars="200"/>
        <w:jc w:val="both"/>
        <w:textAlignment w:val="auto"/>
        <w:outlineLvl w:val="9"/>
        <w:rPr>
          <w:rFonts w:hint="eastAsia" w:ascii="Times New Roman" w:hAnsi="Times New Roman" w:eastAsia="方正楷体_GBK" w:cs="方正楷体_GBK"/>
          <w:sz w:val="32"/>
          <w:szCs w:val="32"/>
          <w:lang w:val="en-US" w:eastAsia="zh-CN"/>
        </w:rPr>
      </w:pPr>
      <w:bookmarkStart w:id="0" w:name="OLE_LINK4"/>
      <w:bookmarkStart w:id="1" w:name="OLE_LINK3"/>
      <w:r>
        <w:rPr>
          <w:rFonts w:hint="eastAsia" w:ascii="Times New Roman" w:hAnsi="Times New Roman" w:eastAsia="方正楷体_GBK" w:cs="方正楷体_GBK"/>
          <w:sz w:val="32"/>
          <w:szCs w:val="32"/>
        </w:rPr>
        <w:t>（一）</w:t>
      </w:r>
      <w:r>
        <w:rPr>
          <w:rFonts w:hint="eastAsia" w:ascii="Times New Roman" w:hAnsi="Times New Roman" w:eastAsia="方正楷体_GBK" w:cs="方正楷体_GBK"/>
          <w:sz w:val="32"/>
          <w:szCs w:val="32"/>
          <w:lang w:val="en-US" w:eastAsia="zh-CN"/>
        </w:rPr>
        <w:t>补助对象和标准</w:t>
      </w:r>
      <w:bookmarkEnd w:id="0"/>
    </w:p>
    <w:bookmarkEnd w:id="1"/>
    <w:p w14:paraId="47FBA773">
      <w:pPr>
        <w:keepNext w:val="0"/>
        <w:keepLines w:val="0"/>
        <w:pageBreakBefore w:val="0"/>
        <w:widowControl w:val="0"/>
        <w:kinsoku/>
        <w:wordWrap/>
        <w:overflowPunct/>
        <w:topLinePunct w:val="0"/>
        <w:autoSpaceDE/>
        <w:autoSpaceDN/>
        <w:bidi w:val="0"/>
        <w:adjustRightInd/>
        <w:snapToGrid/>
        <w:spacing w:line="480" w:lineRule="exact"/>
        <w:ind w:left="200" w:right="0" w:rightChars="0" w:firstLine="640" w:firstLineChars="200"/>
        <w:jc w:val="both"/>
        <w:textAlignment w:val="auto"/>
        <w:outlineLvl w:val="9"/>
        <w:rPr>
          <w:rFonts w:hint="eastAsia" w:ascii="Times New Roman" w:hAnsi="Times New Roman" w:eastAsia="方正仿宋_GBK"/>
          <w:color w:val="000000"/>
          <w:sz w:val="32"/>
          <w:szCs w:val="32"/>
          <w:highlight w:val="none"/>
          <w:lang w:val="en-US" w:eastAsia="zh-CN"/>
        </w:rPr>
      </w:pPr>
      <w:r>
        <w:rPr>
          <w:rFonts w:hint="eastAsia" w:ascii="Times New Roman" w:hAnsi="Times New Roman" w:eastAsia="方正仿宋_GBK"/>
          <w:color w:val="000000"/>
          <w:sz w:val="32"/>
          <w:szCs w:val="32"/>
          <w:highlight w:val="none"/>
          <w:lang w:val="en-US" w:eastAsia="zh-CN"/>
        </w:rPr>
        <w:t>全区2025年秸秆机械化还田采取“对象明确、村街审核、第三方核查、区级结算、直补到卡”的操作方式，补助对象按照“谁还田、补给谁”的要求，省市区三级作业补助直接补助到按作业标准实施全量秸秆机械化还田作业的实际种植户。</w:t>
      </w:r>
    </w:p>
    <w:p w14:paraId="2483F818">
      <w:pPr>
        <w:keepNext w:val="0"/>
        <w:keepLines w:val="0"/>
        <w:pageBreakBefore w:val="0"/>
        <w:widowControl w:val="0"/>
        <w:kinsoku/>
        <w:wordWrap/>
        <w:overflowPunct/>
        <w:topLinePunct w:val="0"/>
        <w:autoSpaceDE/>
        <w:autoSpaceDN/>
        <w:bidi w:val="0"/>
        <w:adjustRightInd/>
        <w:snapToGrid/>
        <w:spacing w:line="480" w:lineRule="exact"/>
        <w:ind w:left="200" w:right="0" w:rightChars="0" w:firstLine="640" w:firstLineChars="200"/>
        <w:jc w:val="both"/>
        <w:textAlignment w:val="auto"/>
        <w:outlineLvl w:val="9"/>
        <w:rPr>
          <w:rFonts w:hint="eastAsia" w:ascii="Times New Roman" w:hAnsi="Times New Roman" w:eastAsia="方正仿宋_GBK"/>
          <w:color w:val="000000"/>
          <w:sz w:val="32"/>
          <w:szCs w:val="32"/>
          <w:highlight w:val="none"/>
          <w:lang w:val="en-US" w:eastAsia="zh-CN"/>
        </w:rPr>
      </w:pPr>
      <w:r>
        <w:rPr>
          <w:rFonts w:hint="eastAsia" w:ascii="Times New Roman" w:hAnsi="Times New Roman" w:eastAsia="方正仿宋_GBK"/>
          <w:color w:val="000000"/>
          <w:sz w:val="32"/>
          <w:szCs w:val="32"/>
          <w:highlight w:val="none"/>
          <w:lang w:val="en-US" w:eastAsia="zh-CN"/>
        </w:rPr>
        <w:t>补助标准：20元/亩。</w:t>
      </w:r>
    </w:p>
    <w:p w14:paraId="15FF3A45">
      <w:pPr>
        <w:keepNext w:val="0"/>
        <w:keepLines w:val="0"/>
        <w:pageBreakBefore w:val="0"/>
        <w:widowControl w:val="0"/>
        <w:kinsoku/>
        <w:wordWrap/>
        <w:overflowPunct/>
        <w:topLinePunct w:val="0"/>
        <w:autoSpaceDE/>
        <w:autoSpaceDN/>
        <w:bidi w:val="0"/>
        <w:adjustRightInd/>
        <w:snapToGrid/>
        <w:spacing w:line="480" w:lineRule="exact"/>
        <w:ind w:left="200" w:right="0" w:rightChars="0" w:firstLine="640" w:firstLineChars="200"/>
        <w:jc w:val="both"/>
        <w:textAlignment w:val="auto"/>
        <w:outlineLvl w:val="9"/>
        <w:rPr>
          <w:rFonts w:hint="eastAsia" w:ascii="Times New Roman" w:hAnsi="Times New Roman" w:eastAsia="方正楷体_GBK" w:cs="方正楷体_GBK"/>
          <w:sz w:val="32"/>
          <w:szCs w:val="32"/>
          <w:lang w:val="en-US" w:eastAsia="zh-CN"/>
        </w:rPr>
      </w:pPr>
      <w:bookmarkStart w:id="2" w:name="OLE_LINK6"/>
      <w:r>
        <w:rPr>
          <w:rFonts w:hint="eastAsia" w:ascii="Times New Roman" w:hAnsi="Times New Roman" w:eastAsia="方正楷体_GBK" w:cs="方正楷体_GBK"/>
          <w:sz w:val="32"/>
          <w:szCs w:val="32"/>
        </w:rPr>
        <w:t>（</w:t>
      </w:r>
      <w:r>
        <w:rPr>
          <w:rFonts w:hint="eastAsia" w:ascii="Times New Roman" w:hAnsi="Times New Roman" w:eastAsia="方正楷体_GBK" w:cs="方正楷体_GBK"/>
          <w:sz w:val="32"/>
          <w:szCs w:val="32"/>
          <w:lang w:val="en-US" w:eastAsia="zh-CN"/>
        </w:rPr>
        <w:t>二</w:t>
      </w:r>
      <w:r>
        <w:rPr>
          <w:rFonts w:hint="eastAsia" w:ascii="Times New Roman" w:hAnsi="Times New Roman" w:eastAsia="方正楷体_GBK" w:cs="方正楷体_GBK"/>
          <w:sz w:val="32"/>
          <w:szCs w:val="32"/>
        </w:rPr>
        <w:t>）</w:t>
      </w:r>
      <w:r>
        <w:rPr>
          <w:rFonts w:hint="eastAsia" w:ascii="Times New Roman" w:hAnsi="Times New Roman" w:eastAsia="方正楷体_GBK" w:cs="方正楷体_GBK"/>
          <w:sz w:val="32"/>
          <w:szCs w:val="32"/>
          <w:lang w:val="en-US" w:eastAsia="zh-CN"/>
        </w:rPr>
        <w:t>规范资金兑付和管理</w:t>
      </w:r>
    </w:p>
    <w:bookmarkEnd w:id="2"/>
    <w:p w14:paraId="60177DD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Times New Roman" w:hAnsi="Times New Roman" w:eastAsia="方正仿宋_GBK"/>
          <w:color w:val="000000"/>
          <w:sz w:val="32"/>
          <w:szCs w:val="32"/>
          <w:highlight w:val="none"/>
          <w:lang w:val="en-US" w:eastAsia="zh-CN"/>
        </w:rPr>
      </w:pPr>
      <w:r>
        <w:rPr>
          <w:rFonts w:hint="eastAsia" w:ascii="Times New Roman" w:hAnsi="Times New Roman" w:eastAsia="方正仿宋_GBK"/>
          <w:color w:val="000000"/>
          <w:sz w:val="32"/>
          <w:szCs w:val="32"/>
          <w:highlight w:val="none"/>
          <w:lang w:val="en-US" w:eastAsia="zh-CN"/>
        </w:rPr>
        <w:t>省级资金作为“约束性”任务，专项资金不得统筹使用。</w:t>
      </w:r>
      <w:r>
        <w:rPr>
          <w:rFonts w:hint="eastAsia" w:ascii="Times New Roman" w:hAnsi="Times New Roman" w:eastAsia="方正仿宋_GBK"/>
          <w:b/>
          <w:bCs/>
          <w:color w:val="000000"/>
          <w:sz w:val="32"/>
          <w:szCs w:val="32"/>
          <w:highlight w:val="none"/>
          <w:lang w:val="en-US" w:eastAsia="zh-CN"/>
        </w:rPr>
        <w:t>一是兑付方式和时间。</w:t>
      </w:r>
      <w:r>
        <w:rPr>
          <w:rFonts w:hint="eastAsia" w:ascii="Times New Roman" w:hAnsi="Times New Roman" w:eastAsia="方正仿宋_GBK"/>
          <w:color w:val="000000"/>
          <w:sz w:val="32"/>
          <w:szCs w:val="32"/>
          <w:highlight w:val="none"/>
          <w:lang w:val="en-US" w:eastAsia="zh-CN"/>
        </w:rPr>
        <w:t>由区级财政将补助资金通过“一卡（折）通”系统直接打卡给补助对象（补助对象为单位组织的直接支付到单位银行账户），并注明“秸秆还田”字样。夏季兑付截止时间为9月15日，秋季为次年1月31日。</w:t>
      </w:r>
      <w:r>
        <w:rPr>
          <w:rFonts w:hint="eastAsia" w:ascii="Times New Roman" w:hAnsi="Times New Roman" w:eastAsia="方正仿宋_GBK"/>
          <w:b/>
          <w:bCs/>
          <w:color w:val="000000"/>
          <w:sz w:val="32"/>
          <w:szCs w:val="32"/>
          <w:highlight w:val="none"/>
          <w:lang w:val="en-US" w:eastAsia="zh-CN"/>
        </w:rPr>
        <w:t>二是资金管理</w:t>
      </w:r>
      <w:r>
        <w:rPr>
          <w:rFonts w:hint="eastAsia" w:ascii="Times New Roman" w:hAnsi="Times New Roman" w:eastAsia="方正仿宋_GBK"/>
          <w:color w:val="000000"/>
          <w:sz w:val="32"/>
          <w:szCs w:val="32"/>
          <w:highlight w:val="none"/>
          <w:lang w:val="en-US" w:eastAsia="zh-CN"/>
        </w:rPr>
        <w:t>。按省级专项资金管理办法</w:t>
      </w:r>
      <w:bookmarkStart w:id="3" w:name="OLE_LINK1"/>
      <w:r>
        <w:rPr>
          <w:rFonts w:hint="eastAsia" w:ascii="Times New Roman" w:hAnsi="Times New Roman" w:eastAsia="方正仿宋_GBK"/>
          <w:color w:val="000000"/>
          <w:sz w:val="32"/>
          <w:szCs w:val="32"/>
          <w:highlight w:val="none"/>
          <w:lang w:val="en-US" w:eastAsia="zh-CN"/>
        </w:rPr>
        <w:t>（苏财规〔2020〕1号）</w:t>
      </w:r>
      <w:bookmarkEnd w:id="3"/>
      <w:r>
        <w:rPr>
          <w:rFonts w:hint="eastAsia" w:ascii="Times New Roman" w:hAnsi="Times New Roman" w:eastAsia="方正仿宋_GBK"/>
          <w:color w:val="000000"/>
          <w:sz w:val="32"/>
          <w:szCs w:val="32"/>
          <w:highlight w:val="none"/>
          <w:lang w:val="en-US" w:eastAsia="zh-CN"/>
        </w:rPr>
        <w:t>执行。凡是秸秆离田的不得同时享受还田作业补助。在“夏秋”当季按规定还田作业的可给予补助,不得跨季（年）作业补助。</w:t>
      </w:r>
    </w:p>
    <w:p w14:paraId="4304966A">
      <w:pPr>
        <w:pStyle w:val="2"/>
        <w:rPr>
          <w:rFonts w:hint="default"/>
          <w:lang w:val="en-US" w:eastAsia="zh-CN"/>
        </w:rPr>
      </w:pPr>
      <w:r>
        <w:rPr>
          <w:rFonts w:hint="eastAsia" w:eastAsia="方正仿宋_GBK" w:cstheme="minorBidi"/>
          <w:color w:val="000000"/>
          <w:kern w:val="2"/>
          <w:sz w:val="32"/>
          <w:szCs w:val="32"/>
          <w:highlight w:val="none"/>
          <w:lang w:val="en-US" w:eastAsia="zh-CN" w:bidi="ar-SA"/>
        </w:rPr>
        <w:t>秸秆机械化还田相关工作具体操作程序及工作职责依照《关于印发&lt;栖霞区2025年秸秆综合利用工作指导意见&gt;的通知》</w:t>
      </w:r>
      <w:r>
        <w:rPr>
          <w:rFonts w:hint="eastAsia" w:ascii="Times New Roman" w:hAnsi="Times New Roman" w:eastAsia="方正仿宋_GBK"/>
          <w:color w:val="000000"/>
          <w:sz w:val="32"/>
          <w:szCs w:val="32"/>
          <w:highlight w:val="none"/>
          <w:lang w:val="en-US" w:eastAsia="zh-CN"/>
        </w:rPr>
        <w:t>（</w:t>
      </w:r>
      <w:r>
        <w:rPr>
          <w:rFonts w:hint="eastAsia" w:eastAsia="方正仿宋_GBK"/>
          <w:color w:val="000000"/>
          <w:sz w:val="32"/>
          <w:szCs w:val="32"/>
          <w:highlight w:val="none"/>
          <w:lang w:val="en-US" w:eastAsia="zh-CN"/>
        </w:rPr>
        <w:t>宁栖农字</w:t>
      </w:r>
      <w:r>
        <w:rPr>
          <w:rFonts w:hint="eastAsia" w:ascii="Times New Roman" w:hAnsi="Times New Roman" w:eastAsia="方正仿宋_GBK"/>
          <w:color w:val="000000"/>
          <w:sz w:val="32"/>
          <w:szCs w:val="32"/>
          <w:highlight w:val="none"/>
          <w:lang w:val="en-US" w:eastAsia="zh-CN"/>
        </w:rPr>
        <w:t>〔202</w:t>
      </w:r>
      <w:r>
        <w:rPr>
          <w:rFonts w:hint="eastAsia" w:eastAsia="方正仿宋_GBK"/>
          <w:color w:val="000000"/>
          <w:sz w:val="32"/>
          <w:szCs w:val="32"/>
          <w:highlight w:val="none"/>
          <w:lang w:val="en-US" w:eastAsia="zh-CN"/>
        </w:rPr>
        <w:t>5</w:t>
      </w:r>
      <w:r>
        <w:rPr>
          <w:rFonts w:hint="eastAsia" w:ascii="Times New Roman" w:hAnsi="Times New Roman" w:eastAsia="方正仿宋_GBK"/>
          <w:color w:val="000000"/>
          <w:sz w:val="32"/>
          <w:szCs w:val="32"/>
          <w:highlight w:val="none"/>
          <w:lang w:val="en-US" w:eastAsia="zh-CN"/>
        </w:rPr>
        <w:t>〕</w:t>
      </w:r>
      <w:r>
        <w:rPr>
          <w:rFonts w:hint="eastAsia" w:eastAsia="方正仿宋_GBK"/>
          <w:color w:val="000000"/>
          <w:sz w:val="32"/>
          <w:szCs w:val="32"/>
          <w:highlight w:val="none"/>
          <w:lang w:val="en-US" w:eastAsia="zh-CN"/>
        </w:rPr>
        <w:t>36</w:t>
      </w:r>
      <w:r>
        <w:rPr>
          <w:rFonts w:hint="eastAsia" w:ascii="Times New Roman" w:hAnsi="Times New Roman" w:eastAsia="方正仿宋_GBK"/>
          <w:color w:val="000000"/>
          <w:sz w:val="32"/>
          <w:szCs w:val="32"/>
          <w:highlight w:val="none"/>
          <w:lang w:val="en-US" w:eastAsia="zh-CN"/>
        </w:rPr>
        <w:t>号）</w:t>
      </w:r>
      <w:r>
        <w:rPr>
          <w:rFonts w:hint="eastAsia" w:eastAsia="方正仿宋_GBK" w:cstheme="minorBidi"/>
          <w:color w:val="000000"/>
          <w:kern w:val="2"/>
          <w:sz w:val="32"/>
          <w:szCs w:val="32"/>
          <w:highlight w:val="none"/>
          <w:lang w:val="en-US" w:eastAsia="zh-CN" w:bidi="ar-SA"/>
        </w:rPr>
        <w:t>文件执行。</w:t>
      </w:r>
    </w:p>
    <w:p w14:paraId="626F85C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Times New Roman" w:hAnsi="Times New Roman" w:eastAsia="黑体" w:cs="黑体"/>
          <w:b w:val="0"/>
          <w:bCs w:val="0"/>
          <w:kern w:val="2"/>
          <w:sz w:val="32"/>
          <w:szCs w:val="32"/>
          <w:lang w:val="en-US" w:eastAsia="zh-CN" w:bidi="ar-SA"/>
        </w:rPr>
      </w:pPr>
      <w:r>
        <w:rPr>
          <w:rFonts w:hint="eastAsia" w:ascii="Times New Roman" w:hAnsi="Times New Roman" w:eastAsia="黑体" w:cs="黑体"/>
          <w:b w:val="0"/>
          <w:bCs w:val="0"/>
          <w:kern w:val="2"/>
          <w:sz w:val="32"/>
          <w:szCs w:val="32"/>
          <w:lang w:val="en-US" w:eastAsia="zh-CN" w:bidi="ar-SA"/>
        </w:rPr>
        <w:t>三、加工利用主体秸秆规模化利用补助</w:t>
      </w:r>
    </w:p>
    <w:p w14:paraId="4B32F79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Times New Roman" w:hAnsi="Times New Roman" w:eastAsia="方正仿宋_GBK"/>
          <w:color w:val="000000"/>
          <w:sz w:val="32"/>
          <w:szCs w:val="32"/>
          <w:highlight w:val="none"/>
          <w:lang w:val="en-US" w:eastAsia="zh-CN"/>
        </w:rPr>
      </w:pPr>
      <w:r>
        <w:rPr>
          <w:rFonts w:hint="eastAsia" w:ascii="Times New Roman" w:hAnsi="Times New Roman" w:eastAsia="方正仿宋_GBK"/>
          <w:color w:val="000000"/>
          <w:sz w:val="32"/>
          <w:szCs w:val="32"/>
          <w:highlight w:val="none"/>
          <w:lang w:val="en-US" w:eastAsia="zh-CN"/>
        </w:rPr>
        <w:t>2024-2025年秸秆综合利用补助项目实行先建后补，申报秸秆规模化利用补助的加工利用主体的年度秸秆利用量不低于1000吨。</w:t>
      </w:r>
    </w:p>
    <w:p w14:paraId="191203F6">
      <w:pPr>
        <w:keepNext w:val="0"/>
        <w:keepLines w:val="0"/>
        <w:pageBreakBefore w:val="0"/>
        <w:widowControl w:val="0"/>
        <w:kinsoku/>
        <w:wordWrap/>
        <w:overflowPunct/>
        <w:topLinePunct w:val="0"/>
        <w:autoSpaceDE/>
        <w:autoSpaceDN/>
        <w:bidi w:val="0"/>
        <w:adjustRightInd/>
        <w:snapToGrid/>
        <w:spacing w:line="480" w:lineRule="exact"/>
        <w:ind w:left="200" w:right="0" w:rightChars="0" w:firstLine="640" w:firstLineChars="200"/>
        <w:jc w:val="both"/>
        <w:textAlignment w:val="auto"/>
        <w:outlineLvl w:val="9"/>
        <w:rPr>
          <w:rFonts w:hint="eastAsia" w:ascii="Times New Roman" w:hAnsi="Times New Roman" w:eastAsia="方正楷体_GBK" w:cs="方正楷体_GBK"/>
          <w:sz w:val="32"/>
          <w:szCs w:val="32"/>
          <w:lang w:val="en-US" w:eastAsia="zh-CN"/>
        </w:rPr>
      </w:pPr>
      <w:r>
        <w:rPr>
          <w:rFonts w:hint="eastAsia" w:ascii="Times New Roman" w:hAnsi="Times New Roman" w:eastAsia="方正楷体_GBK" w:cs="方正楷体_GBK"/>
          <w:sz w:val="32"/>
          <w:szCs w:val="32"/>
          <w:lang w:val="en-US" w:eastAsia="zh-CN"/>
        </w:rPr>
        <w:t>（一）扶持对象和标准</w:t>
      </w:r>
    </w:p>
    <w:p w14:paraId="67591C4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Times New Roman" w:hAnsi="Times New Roman" w:eastAsia="方正仿宋_GBK"/>
          <w:color w:val="000000"/>
          <w:sz w:val="32"/>
          <w:szCs w:val="32"/>
          <w:highlight w:val="none"/>
          <w:lang w:val="en-US" w:eastAsia="zh-CN"/>
        </w:rPr>
      </w:pPr>
      <w:r>
        <w:rPr>
          <w:rFonts w:hint="eastAsia" w:ascii="Times New Roman" w:hAnsi="Times New Roman" w:eastAsia="方正仿宋_GBK"/>
          <w:color w:val="000000"/>
          <w:sz w:val="32"/>
          <w:szCs w:val="32"/>
          <w:highlight w:val="none"/>
          <w:lang w:val="en-US" w:eastAsia="zh-CN"/>
        </w:rPr>
        <w:t>扶持对象为全区范围内开展稻麦秸秆收储和进行稻麦秸秆肥料化、饲料化、基料化、能源化、原料化利用的各类主体，包括：农机合作社、家庭农场、村社集体、秸秆收储组织、秸秆加工利用企业等。</w:t>
      </w:r>
    </w:p>
    <w:p w14:paraId="7C79F1D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20" w:lineRule="exact"/>
        <w:ind w:firstLine="640" w:firstLineChars="200"/>
        <w:textAlignment w:val="auto"/>
        <w:rPr>
          <w:rFonts w:ascii="Times New Roman" w:hAnsi="Times New Roman" w:eastAsia="方正仿宋_GBK"/>
          <w:color w:val="000000"/>
          <w:sz w:val="32"/>
          <w:szCs w:val="32"/>
          <w:highlight w:val="none"/>
        </w:rPr>
      </w:pPr>
      <w:r>
        <w:rPr>
          <w:rFonts w:hint="eastAsia" w:ascii="Times New Roman" w:hAnsi="Times New Roman" w:eastAsia="方正仿宋_GBK"/>
          <w:color w:val="000000"/>
          <w:sz w:val="32"/>
          <w:szCs w:val="32"/>
          <w:highlight w:val="none"/>
          <w:lang w:val="en-US" w:eastAsia="zh-CN"/>
        </w:rPr>
        <w:t>补助标准：对秸秆规模化利用主体，年消耗本市秸秆量1000（含）-2000吨的补助5万元/年；年消耗本市秸秆量2000（含）-4000吨的补助10万元/年；年消耗本市秸秆量4000（含）-6000吨的补助15万元/年；年消耗本市秸秆量6000（含）-8000吨的补助20万元/年；年消耗本市秸秆量8000（含）-10000吨的补助25万元/年；年消耗本市秸秆量10000（含）吨以上的补助30万元/年。</w:t>
      </w:r>
    </w:p>
    <w:p w14:paraId="72C09A3B">
      <w:pPr>
        <w:keepNext w:val="0"/>
        <w:keepLines w:val="0"/>
        <w:pageBreakBefore w:val="0"/>
        <w:widowControl w:val="0"/>
        <w:kinsoku/>
        <w:wordWrap/>
        <w:overflowPunct/>
        <w:topLinePunct w:val="0"/>
        <w:autoSpaceDE/>
        <w:autoSpaceDN/>
        <w:bidi w:val="0"/>
        <w:adjustRightInd/>
        <w:snapToGrid/>
        <w:spacing w:line="480" w:lineRule="exact"/>
        <w:ind w:left="200" w:right="0" w:rightChars="0" w:firstLine="640" w:firstLineChars="200"/>
        <w:jc w:val="both"/>
        <w:textAlignment w:val="auto"/>
        <w:outlineLvl w:val="9"/>
        <w:rPr>
          <w:rFonts w:hint="eastAsia" w:ascii="Times New Roman" w:hAnsi="Times New Roman" w:eastAsia="方正楷体_GBK" w:cs="方正楷体_GBK"/>
          <w:sz w:val="32"/>
          <w:szCs w:val="32"/>
          <w:lang w:val="en-US" w:eastAsia="zh-CN"/>
        </w:rPr>
      </w:pPr>
      <w:r>
        <w:rPr>
          <w:rFonts w:hint="eastAsia" w:ascii="Times New Roman" w:hAnsi="Times New Roman" w:eastAsia="方正楷体_GBK" w:cs="方正楷体_GBK"/>
          <w:sz w:val="32"/>
          <w:szCs w:val="32"/>
          <w:lang w:val="en-US" w:eastAsia="zh-CN"/>
        </w:rPr>
        <w:t>（二）建设期限</w:t>
      </w:r>
    </w:p>
    <w:p w14:paraId="03764A7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Times New Roman" w:hAnsi="Times New Roman" w:eastAsia="方正仿宋_GBK"/>
          <w:color w:val="000000"/>
          <w:sz w:val="32"/>
          <w:szCs w:val="32"/>
          <w:highlight w:val="none"/>
          <w:lang w:val="en-US" w:eastAsia="zh-CN"/>
        </w:rPr>
      </w:pPr>
      <w:r>
        <w:rPr>
          <w:rFonts w:hint="eastAsia" w:ascii="Times New Roman" w:hAnsi="Times New Roman" w:eastAsia="方正仿宋_GBK"/>
          <w:color w:val="000000"/>
          <w:sz w:val="32"/>
          <w:szCs w:val="32"/>
          <w:highlight w:val="none"/>
          <w:lang w:val="en-US" w:eastAsia="zh-CN"/>
        </w:rPr>
        <w:t>补助期限为：2024年7月1日至2025年6月30日期间完成（建成）符合申报条件的项目，项目单位于2025年9月30日之前向农业主管部门申请核查验收。</w:t>
      </w:r>
    </w:p>
    <w:p w14:paraId="707AD70D">
      <w:pPr>
        <w:rPr>
          <w:rFonts w:hint="default" w:ascii="仿宋" w:hAnsi="仿宋" w:eastAsia="仿宋"/>
          <w:sz w:val="32"/>
          <w:szCs w:val="32"/>
          <w:lang w:val="en-US" w:eastAsia="zh-CN"/>
        </w:rPr>
        <w:sectPr>
          <w:footerReference r:id="rId6" w:type="default"/>
          <w:pgSz w:w="11906" w:h="16838"/>
          <w:pgMar w:top="2098" w:right="1474" w:bottom="1985" w:left="1588" w:header="851" w:footer="992" w:gutter="0"/>
          <w:pgNumType w:fmt="numberInDash"/>
          <w:cols w:space="0" w:num="1"/>
          <w:docGrid w:type="lines" w:linePitch="312" w:charSpace="0"/>
        </w:sectPr>
      </w:pPr>
    </w:p>
    <w:p w14:paraId="3248D3AF"/>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86397">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FB7C78">
                          <w:pPr>
                            <w:pStyle w:val="3"/>
                            <w:rPr>
                              <w:rFonts w:ascii="Times New Roman" w:hAnsi="Times New Roman" w:cs="Times New Roman"/>
                              <w:sz w:val="28"/>
                              <w:szCs w:val="28"/>
                            </w:rPr>
                          </w:pPr>
                          <w:r>
                            <w:rPr>
                              <w:rFonts w:hint="eastAsia"/>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9FB7C78">
                    <w:pPr>
                      <w:pStyle w:val="3"/>
                      <w:rPr>
                        <w:rFonts w:ascii="Times New Roman" w:hAnsi="Times New Roman" w:cs="Times New Roman"/>
                        <w:sz w:val="28"/>
                        <w:szCs w:val="28"/>
                      </w:rPr>
                    </w:pPr>
                    <w:r>
                      <w:rPr>
                        <w:rFonts w:hint="eastAsia"/>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0BA4B">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1D9E72">
                          <w:pPr>
                            <w:pStyle w:val="3"/>
                            <w:rPr>
                              <w:rFonts w:ascii="Times New Roman" w:hAnsi="Times New Roman" w:cs="Times New Roman"/>
                              <w:sz w:val="28"/>
                              <w:szCs w:val="28"/>
                            </w:rPr>
                          </w:pPr>
                          <w:r>
                            <w:rPr>
                              <w:rFonts w:hint="eastAsia"/>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r>
                            <w:rPr>
                              <w:rFonts w:hint="eastAsia"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E1D9E72">
                    <w:pPr>
                      <w:pStyle w:val="3"/>
                      <w:rPr>
                        <w:rFonts w:ascii="Times New Roman" w:hAnsi="Times New Roman" w:cs="Times New Roman"/>
                        <w:sz w:val="28"/>
                        <w:szCs w:val="28"/>
                      </w:rPr>
                    </w:pPr>
                    <w:r>
                      <w:rPr>
                        <w:rFonts w:hint="eastAsia"/>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r>
                      <w:rPr>
                        <w:rFonts w:hint="eastAsia" w:ascii="Times New Roman" w:hAnsi="Times New Roman" w:cs="Times New Roman"/>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3E92F"/>
    <w:multiLevelType w:val="singleLevel"/>
    <w:tmpl w:val="0033E92F"/>
    <w:lvl w:ilvl="0" w:tentative="0">
      <w:start w:val="1"/>
      <w:numFmt w:val="chineseCounting"/>
      <w:suff w:val="nothing"/>
      <w:lvlText w:val="%1、"/>
      <w:lvlJc w:val="left"/>
      <w:rPr>
        <w:rFonts w:hint="eastAsia"/>
      </w:rPr>
    </w:lvl>
  </w:abstractNum>
  <w:abstractNum w:abstractNumId="1">
    <w:nsid w:val="06D367AA"/>
    <w:multiLevelType w:val="singleLevel"/>
    <w:tmpl w:val="06D367A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5B4953"/>
    <w:rsid w:val="47EA5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line="560" w:lineRule="exact"/>
      <w:ind w:firstLine="480" w:firstLineChars="200"/>
    </w:pPr>
    <w:rPr>
      <w:rFonts w:ascii="Times New Roman" w:hAnsi="Times New Roman"/>
      <w:sz w:val="28"/>
    </w:r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1612</Words>
  <Characters>1728</Characters>
  <Lines>0</Lines>
  <Paragraphs>0</Paragraphs>
  <TotalTime>1</TotalTime>
  <ScaleCrop>false</ScaleCrop>
  <LinksUpToDate>false</LinksUpToDate>
  <CharactersWithSpaces>1737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2025-11-21T08:32:00Z</dcterms:created>
  <dc:creator>Administrator</dc:creator>
  <cp:lastModifiedBy>张张</cp:lastModifiedBy>
  <dcterms:modified xsi:type="dcterms:W3CDTF">2025-11-24T08:02:40Z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eyJoZGlkIjoiMTA4MjkyNDIzMTdiNDUwZTgxMWQzYWYzMjZjNWNhNmIiLCJ1c2VySWQiOiI1MDU0MzIyNTgifQ==</vt:lpwstr>
  </property>
  <property fmtid="{D5CDD505-2E9C-101B-9397-08002B2CF9AE}" pid="4" name="ICV">
    <vt:lpwstr>4A608A60DC884B6BB42EB877B3F52C40_12</vt:lpwstr>
  </property>
</Properties>
</file>