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1CBBBB">
      <w:pPr>
        <w:keepNext w:val="0"/>
        <w:keepLines w:val="0"/>
        <w:pageBreakBefore w:val="0"/>
        <w:kinsoku/>
        <w:wordWrap/>
        <w:overflowPunct/>
        <w:topLinePunct w:val="0"/>
        <w:autoSpaceDE/>
        <w:autoSpaceDN/>
        <w:bidi w:val="0"/>
        <w:spacing w:line="520" w:lineRule="exact"/>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附件1：</w:t>
      </w:r>
    </w:p>
    <w:p w14:paraId="619B79F2">
      <w:pPr>
        <w:keepNext w:val="0"/>
        <w:keepLines w:val="0"/>
        <w:pageBreakBefore w:val="0"/>
        <w:kinsoku/>
        <w:wordWrap/>
        <w:overflowPunct/>
        <w:topLinePunct w:val="0"/>
        <w:autoSpaceDE/>
        <w:autoSpaceDN/>
        <w:bidi w:val="0"/>
        <w:adjustRightInd/>
        <w:spacing w:line="560" w:lineRule="exact"/>
        <w:jc w:val="center"/>
        <w:textAlignment w:val="baseline"/>
        <w:rPr>
          <w:rFonts w:hint="eastAsia" w:ascii="Times New Roman" w:hAnsi="Times New Roman" w:eastAsia="方正小标宋简体" w:cs="Times New Roman"/>
          <w:color w:val="auto"/>
          <w:sz w:val="44"/>
          <w:szCs w:val="44"/>
        </w:rPr>
      </w:pPr>
      <w:r>
        <w:rPr>
          <w:rFonts w:hint="eastAsia" w:ascii="Times New Roman" w:hAnsi="Times New Roman" w:eastAsia="方正小标宋简体" w:cs="Times New Roman"/>
          <w:color w:val="auto"/>
          <w:sz w:val="44"/>
          <w:szCs w:val="44"/>
        </w:rPr>
        <w:t>栖霞区2024年第四批省级农业专项资金实施指导意见</w:t>
      </w:r>
    </w:p>
    <w:p w14:paraId="2C0C32C3">
      <w:pPr>
        <w:keepNext w:val="0"/>
        <w:keepLines w:val="0"/>
        <w:pageBreakBefore w:val="0"/>
        <w:kinsoku/>
        <w:wordWrap/>
        <w:overflowPunct/>
        <w:topLinePunct w:val="0"/>
        <w:autoSpaceDE/>
        <w:autoSpaceDN/>
        <w:bidi w:val="0"/>
        <w:adjustRightInd/>
        <w:spacing w:line="560" w:lineRule="exact"/>
        <w:jc w:val="center"/>
        <w:textAlignment w:val="baseline"/>
        <w:rPr>
          <w:rFonts w:hint="eastAsia" w:ascii="Times New Roman" w:hAnsi="Times New Roman" w:eastAsia="方正小标宋简体" w:cs="Times New Roman"/>
          <w:color w:val="auto"/>
          <w:sz w:val="44"/>
          <w:szCs w:val="44"/>
        </w:rPr>
      </w:pPr>
    </w:p>
    <w:p w14:paraId="631558E6">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ascii="Times New Roman" w:hAnsi="Times New Roman" w:eastAsia="方正小标宋_GBK"/>
          <w:sz w:val="44"/>
          <w:szCs w:val="44"/>
        </w:rPr>
      </w:pPr>
      <w:r>
        <w:rPr>
          <w:rFonts w:ascii="Times New Roman" w:hAnsi="Times New Roman" w:eastAsia="方正小标宋_GBK"/>
          <w:sz w:val="44"/>
          <w:szCs w:val="44"/>
        </w:rPr>
        <w:t>2024年</w:t>
      </w:r>
      <w:r>
        <w:rPr>
          <w:rFonts w:hint="eastAsia" w:ascii="Times New Roman" w:hAnsi="Times New Roman" w:eastAsia="方正小标宋_GBK"/>
          <w:sz w:val="44"/>
          <w:szCs w:val="44"/>
          <w:lang w:val="en-US" w:eastAsia="zh-CN"/>
        </w:rPr>
        <w:t>现代农业</w:t>
      </w:r>
      <w:r>
        <w:rPr>
          <w:rFonts w:ascii="Times New Roman" w:hAnsi="Times New Roman" w:eastAsia="方正小标宋_GBK"/>
          <w:sz w:val="44"/>
          <w:szCs w:val="44"/>
        </w:rPr>
        <w:t>发展专项—栖霞区2024年</w:t>
      </w:r>
      <w:r>
        <w:rPr>
          <w:rFonts w:hint="eastAsia" w:ascii="Times New Roman" w:hAnsi="Times New Roman" w:eastAsia="方正小标宋_GBK"/>
          <w:sz w:val="44"/>
          <w:szCs w:val="44"/>
          <w:lang w:val="en-US" w:eastAsia="zh-CN"/>
        </w:rPr>
        <w:t>农机报废更新补助</w:t>
      </w:r>
      <w:r>
        <w:rPr>
          <w:rFonts w:ascii="Times New Roman" w:hAnsi="Times New Roman" w:eastAsia="方正小标宋_GBK"/>
          <w:sz w:val="44"/>
          <w:szCs w:val="44"/>
        </w:rPr>
        <w:t>项目实施指导意见</w:t>
      </w:r>
    </w:p>
    <w:p w14:paraId="0A1A77C1">
      <w:pPr>
        <w:keepNext w:val="0"/>
        <w:keepLines w:val="0"/>
        <w:pageBreakBefore w:val="0"/>
        <w:kinsoku/>
        <w:wordWrap/>
        <w:overflowPunct/>
        <w:topLinePunct w:val="0"/>
        <w:autoSpaceDE/>
        <w:autoSpaceDN/>
        <w:bidi w:val="0"/>
        <w:spacing w:line="520" w:lineRule="exact"/>
        <w:ind w:firstLine="640" w:firstLineChars="200"/>
        <w:textAlignment w:val="auto"/>
        <w:rPr>
          <w:rFonts w:ascii="Times New Roman" w:hAnsi="Times New Roman" w:eastAsia="方正仿宋_GBK"/>
          <w:sz w:val="32"/>
          <w:szCs w:val="32"/>
        </w:rPr>
      </w:pPr>
    </w:p>
    <w:p w14:paraId="265880C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为贯彻落实《江苏省推动大规模设备更新和消费品以旧换新行动方案》工作要求，加快老旧农业机械报废进程，推动大规模设备更新，根据江苏省农业农村厅、财政厅《关于大力实施农机报废更新补贴政策推动大规模设备更新工作的通知》（苏农机﹝2024﹞14号），江苏省农业农村厅、发展和改革委员会、财政厅《关于加力推动农机报废更新补贴政策实施的补充通知》（苏农机﹝2024﹞17号）文件要求，</w:t>
      </w:r>
      <w:r>
        <w:rPr>
          <w:rFonts w:ascii="Times New Roman" w:hAnsi="Times New Roman" w:eastAsia="方正仿宋_GBK"/>
          <w:sz w:val="32"/>
          <w:szCs w:val="32"/>
        </w:rPr>
        <w:t>根据本区实际情况全区涉农街道范围内开展</w:t>
      </w:r>
      <w:r>
        <w:rPr>
          <w:rFonts w:hint="eastAsia" w:ascii="Times New Roman" w:hAnsi="Times New Roman" w:eastAsia="方正仿宋_GBK"/>
          <w:sz w:val="32"/>
          <w:szCs w:val="32"/>
        </w:rPr>
        <w:t>农机报废更新补助</w:t>
      </w:r>
      <w:r>
        <w:rPr>
          <w:rFonts w:hint="eastAsia" w:ascii="Times New Roman" w:hAnsi="Times New Roman" w:eastAsia="方正仿宋_GBK"/>
          <w:sz w:val="32"/>
          <w:szCs w:val="32"/>
          <w:lang w:val="en-US" w:eastAsia="zh-CN"/>
        </w:rPr>
        <w:t>发放</w:t>
      </w:r>
      <w:r>
        <w:rPr>
          <w:rFonts w:ascii="Times New Roman" w:hAnsi="Times New Roman" w:eastAsia="方正仿宋_GBK"/>
          <w:sz w:val="32"/>
          <w:szCs w:val="32"/>
        </w:rPr>
        <w:t>工作。</w:t>
      </w:r>
    </w:p>
    <w:p w14:paraId="677284A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坚持“农民自愿、政策支持、方便高效、安全环保”的原则。通过实施农机报废更新补贴政策，加大耗能高、污染重、作业损失大、安全性能低的老旧农机淘汰力度，进一步加快先进适用、节能环保、安全可靠农业机械的推广应用，推动粮食生产耕、种、管、收、烘各环节农机装备更新。</w:t>
      </w:r>
    </w:p>
    <w:p w14:paraId="782E0BF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一、实施要求</w:t>
      </w:r>
    </w:p>
    <w:p w14:paraId="46B79BA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楷体_GBK" w:cs="方正楷体_GBK"/>
          <w:sz w:val="32"/>
          <w:szCs w:val="32"/>
        </w:rPr>
        <w:t>（1）</w:t>
      </w:r>
      <w:r>
        <w:rPr>
          <w:rFonts w:hint="eastAsia" w:ascii="Times New Roman" w:hAnsi="Times New Roman" w:eastAsia="方正楷体_GBK" w:cs="方正楷体_GBK"/>
          <w:sz w:val="32"/>
          <w:szCs w:val="32"/>
          <w:lang w:val="en-US" w:eastAsia="zh-CN"/>
        </w:rPr>
        <w:t>补助对象</w:t>
      </w:r>
      <w:r>
        <w:rPr>
          <w:rFonts w:hint="eastAsia" w:ascii="Times New Roman" w:hAnsi="Times New Roman" w:eastAsia="方正楷体_GBK" w:cs="方正楷体_GBK"/>
          <w:sz w:val="32"/>
          <w:szCs w:val="32"/>
        </w:rPr>
        <w:t>：</w:t>
      </w:r>
      <w:r>
        <w:rPr>
          <w:rFonts w:hint="eastAsia" w:ascii="Times New Roman" w:hAnsi="Times New Roman" w:eastAsia="方正仿宋_GBK"/>
          <w:sz w:val="32"/>
          <w:szCs w:val="32"/>
          <w:lang w:val="en-US" w:eastAsia="zh-CN"/>
        </w:rPr>
        <w:t>栖霞区</w:t>
      </w:r>
      <w:r>
        <w:rPr>
          <w:rFonts w:hint="eastAsia" w:ascii="Times New Roman" w:hAnsi="Times New Roman" w:eastAsia="方正仿宋_GBK"/>
          <w:sz w:val="32"/>
          <w:szCs w:val="32"/>
        </w:rPr>
        <w:t>内从事农业生产的农民和农业生产经营组织，农业生产经营组织包括农村集体经济组织、农民专业合作经济组织、农业企业和其他从事农业生产经营的组织。</w:t>
      </w:r>
    </w:p>
    <w:p w14:paraId="586A588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楷体_GBK" w:cs="方正楷体_GBK"/>
          <w:sz w:val="32"/>
          <w:szCs w:val="32"/>
        </w:rPr>
        <w:t>（2）补贴种类：</w:t>
      </w:r>
      <w:r>
        <w:rPr>
          <w:rFonts w:hint="eastAsia" w:ascii="Times New Roman" w:hAnsi="Times New Roman" w:eastAsia="方正仿宋_GBK"/>
          <w:sz w:val="32"/>
          <w:szCs w:val="32"/>
        </w:rPr>
        <w:t>农机报废更新补贴由报废部分补贴与更新部分补贴两部分构成。</w:t>
      </w:r>
    </w:p>
    <w:p w14:paraId="57E5BA3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报废部分补贴的农机种类包括：拖拉机、播种机、联合收割机、水稻插秧机、农用北斗辅助驾驶系统、机动喷雾（粉）机、饲料（草）粉碎机、铡草机等。</w:t>
      </w:r>
    </w:p>
    <w:p w14:paraId="39A67C5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报废部分补贴实行定额补贴，具体农业机械报废补贴额一览表</w:t>
      </w:r>
      <w:r>
        <w:rPr>
          <w:rFonts w:hint="eastAsia" w:ascii="Times New Roman" w:hAnsi="Times New Roman" w:eastAsia="方正仿宋_GBK"/>
          <w:sz w:val="32"/>
          <w:szCs w:val="32"/>
          <w:lang w:val="en-US" w:eastAsia="zh-CN"/>
        </w:rPr>
        <w:t>随文（见附件1）下发</w:t>
      </w:r>
      <w:r>
        <w:rPr>
          <w:rFonts w:hint="eastAsia" w:ascii="Times New Roman" w:hAnsi="Times New Roman" w:eastAsia="方正仿宋_GBK"/>
          <w:sz w:val="32"/>
          <w:szCs w:val="32"/>
        </w:rPr>
        <w:t>。更新部分补贴按农机购置与应用补贴政策相关规定执行。</w:t>
      </w:r>
    </w:p>
    <w:p w14:paraId="37AD4A1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cstheme="minorBidi"/>
          <w:kern w:val="2"/>
          <w:sz w:val="32"/>
          <w:szCs w:val="32"/>
          <w:lang w:val="en-US" w:eastAsia="zh-CN" w:bidi="ar-SA"/>
        </w:rPr>
        <w:t>（3）</w:t>
      </w:r>
      <w:r>
        <w:rPr>
          <w:rFonts w:hint="eastAsia" w:ascii="Times New Roman" w:hAnsi="Times New Roman" w:eastAsia="方正楷体_GBK" w:cs="方正楷体_GBK"/>
          <w:sz w:val="32"/>
          <w:szCs w:val="32"/>
          <w:lang w:val="en-US" w:eastAsia="zh-CN"/>
        </w:rPr>
        <w:t>报废条件</w:t>
      </w:r>
      <w:r>
        <w:rPr>
          <w:rFonts w:hint="eastAsia" w:ascii="Times New Roman" w:hAnsi="Times New Roman" w:eastAsia="方正楷体_GBK" w:cs="方正楷体_GBK"/>
          <w:sz w:val="32"/>
          <w:szCs w:val="32"/>
        </w:rPr>
        <w:t>：</w:t>
      </w:r>
      <w:r>
        <w:rPr>
          <w:rFonts w:hint="eastAsia" w:ascii="Times New Roman" w:hAnsi="Times New Roman" w:eastAsia="方正仿宋_GBK"/>
          <w:sz w:val="32"/>
          <w:szCs w:val="32"/>
        </w:rPr>
        <w:t>报废农机的使用年限等技术条件参照《拖拉机禁用与报废》《联合收获机报废技术条件》《水稻插秧机报废技术条件》《机动植保机械报废技术条件》《饲料粉碎机报废技术条件》《铡草机报废技术条件》确定（见附件</w:t>
      </w: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）。国家未明确设定报废条件的，由机主根据实际情况确定。</w:t>
      </w:r>
    </w:p>
    <w:p w14:paraId="22FE463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lang w:eastAsia="zh-CN"/>
        </w:rPr>
      </w:pPr>
      <w:r>
        <w:rPr>
          <w:rFonts w:hint="eastAsia" w:ascii="Times New Roman" w:hAnsi="Times New Roman" w:eastAsia="方正仿宋_GBK"/>
          <w:sz w:val="32"/>
          <w:szCs w:val="32"/>
        </w:rPr>
        <w:t>对未达报废年限但安全隐患大、故障发生率高、损毁严重、维修成本高的农机，经机主书面申请可提前办理报废并申请报废补贴</w:t>
      </w:r>
      <w:r>
        <w:rPr>
          <w:rFonts w:hint="eastAsia" w:ascii="Times New Roman" w:hAnsi="Times New Roman" w:eastAsia="方正仿宋_GBK"/>
          <w:sz w:val="32"/>
          <w:szCs w:val="32"/>
          <w:lang w:eastAsia="zh-CN"/>
        </w:rPr>
        <w:t>。</w:t>
      </w:r>
    </w:p>
    <w:p w14:paraId="7B852E3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二、工作内容</w:t>
      </w:r>
    </w:p>
    <w:p w14:paraId="5C45E80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农机报废补贴申请办理程序按照《江苏省农业机械报废更新补贴实施意见》（苏农规〔2020〕10号）要求执行。</w:t>
      </w:r>
    </w:p>
    <w:p w14:paraId="7874B2F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楷体_GBK" w:cs="方正楷体_GBK"/>
          <w:sz w:val="32"/>
          <w:szCs w:val="32"/>
          <w:lang w:val="en-US" w:eastAsia="zh-CN"/>
        </w:rPr>
      </w:pPr>
      <w:r>
        <w:rPr>
          <w:rFonts w:hint="eastAsia" w:ascii="Times New Roman" w:hAnsi="Times New Roman" w:eastAsia="方正楷体_GBK" w:cs="方正楷体_GBK"/>
          <w:sz w:val="32"/>
          <w:szCs w:val="32"/>
        </w:rPr>
        <w:t>（1）</w:t>
      </w:r>
      <w:r>
        <w:rPr>
          <w:rFonts w:hint="eastAsia" w:ascii="Times New Roman" w:hAnsi="Times New Roman" w:eastAsia="方正楷体_GBK" w:cs="方正楷体_GBK"/>
          <w:sz w:val="32"/>
          <w:szCs w:val="32"/>
          <w:lang w:val="en-US" w:eastAsia="zh-CN"/>
        </w:rPr>
        <w:t>报废旧机</w:t>
      </w:r>
    </w:p>
    <w:p w14:paraId="01B00BA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楷体_GBK" w:cs="方正楷体_GBK"/>
          <w:sz w:val="32"/>
          <w:szCs w:val="32"/>
          <w:lang w:val="en-US" w:eastAsia="zh-CN"/>
        </w:rPr>
      </w:pPr>
      <w:r>
        <w:rPr>
          <w:rFonts w:hint="eastAsia" w:ascii="Times New Roman" w:hAnsi="Times New Roman" w:eastAsia="方正楷体_GBK" w:cs="方正楷体_GBK"/>
          <w:sz w:val="32"/>
          <w:szCs w:val="32"/>
        </w:rPr>
        <w:t>（2）</w:t>
      </w:r>
      <w:r>
        <w:rPr>
          <w:rFonts w:hint="eastAsia" w:ascii="Times New Roman" w:hAnsi="Times New Roman" w:eastAsia="方正楷体_GBK" w:cs="方正楷体_GBK"/>
          <w:sz w:val="32"/>
          <w:szCs w:val="32"/>
          <w:lang w:val="en-US" w:eastAsia="zh-CN"/>
        </w:rPr>
        <w:t>注销登记</w:t>
      </w:r>
    </w:p>
    <w:p w14:paraId="7053C2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楷体_GBK" w:cs="方正楷体_GBK"/>
          <w:sz w:val="32"/>
          <w:szCs w:val="32"/>
          <w:lang w:val="en-US" w:eastAsia="zh-CN"/>
        </w:rPr>
      </w:pPr>
      <w:r>
        <w:rPr>
          <w:rFonts w:hint="eastAsia" w:ascii="Times New Roman" w:hAnsi="Times New Roman" w:eastAsia="方正仿宋_GBK" w:cstheme="minorBidi"/>
          <w:kern w:val="2"/>
          <w:sz w:val="32"/>
          <w:szCs w:val="32"/>
          <w:lang w:val="en-US" w:eastAsia="zh-CN" w:bidi="ar-SA"/>
        </w:rPr>
        <w:t>（3）</w:t>
      </w:r>
      <w:r>
        <w:rPr>
          <w:rFonts w:ascii="方正楷体_GBK" w:hAnsi="方正楷体_GBK" w:eastAsia="方正楷体_GBK" w:cs="方正楷体_GBK"/>
          <w:spacing w:val="4"/>
          <w:sz w:val="31"/>
          <w:szCs w:val="31"/>
        </w:rPr>
        <w:t>兑现补贴</w:t>
      </w:r>
    </w:p>
    <w:p w14:paraId="00A7366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机主持有效的《确认表》和书面承诺原件（含购买原始发票或企业销售存根复印件，注册登记的不提供书面承诺），按相关规定到乡镇农业农村、财政部门申请办理补贴手续。对未达报废年限的农机，机主应当提供书面提前报废申请原件。农用北斗辅助驾驶系统还需要提供新购农用北斗辅助驾驶系统证明。</w:t>
      </w:r>
    </w:p>
    <w:p w14:paraId="37FE69C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当地农业农村部门、财政部门按职责分工进行审核、公示、相互衔接，按规定通过“一卡通”方式向符合要求的机主兑现补贴资金。</w:t>
      </w:r>
    </w:p>
    <w:p w14:paraId="016C006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县级农业农村部门应当按照报废补贴农机总量不超过购置补贴农机总量的原则，设置个人和农业生产经营组织年度内享受报废补贴的农机数量上限，合理确定年度报废补贴农机数量。</w:t>
      </w:r>
    </w:p>
    <w:p w14:paraId="469445B9">
      <w:pPr>
        <w:rPr>
          <w:rFonts w:hint="eastAsia" w:ascii="Times New Roman" w:hAnsi="Times New Roman" w:eastAsia="方正仿宋_GBK"/>
          <w:sz w:val="32"/>
          <w:szCs w:val="32"/>
        </w:rPr>
      </w:pPr>
      <w:r>
        <w:rPr>
          <w:rFonts w:hint="eastAsia" w:ascii="Times New Roman" w:hAnsi="Times New Roman" w:eastAsia="方正仿宋_GBK"/>
          <w:sz w:val="32"/>
          <w:szCs w:val="32"/>
        </w:rPr>
        <w:br w:type="page"/>
      </w:r>
    </w:p>
    <w:p w14:paraId="0471CA79">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51AC5C55">
      <w:pPr>
        <w:spacing w:before="105" w:line="214" w:lineRule="auto"/>
        <w:ind w:left="1145"/>
        <w:rPr>
          <w:rFonts w:ascii="微软雅黑" w:hAnsi="微软雅黑" w:eastAsia="微软雅黑" w:cs="微软雅黑"/>
          <w:sz w:val="43"/>
          <w:szCs w:val="43"/>
        </w:rPr>
      </w:pPr>
      <w:r>
        <w:rPr>
          <w:rFonts w:ascii="微软雅黑" w:hAnsi="微软雅黑" w:eastAsia="微软雅黑" w:cs="微软雅黑"/>
          <w:spacing w:val="-1"/>
          <w:sz w:val="43"/>
          <w:szCs w:val="43"/>
        </w:rPr>
        <w:t>江苏省农业机械报废补贴额一览表</w:t>
      </w:r>
    </w:p>
    <w:tbl>
      <w:tblPr>
        <w:tblStyle w:val="10"/>
        <w:tblW w:w="879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9"/>
        <w:gridCol w:w="1426"/>
        <w:gridCol w:w="4422"/>
        <w:gridCol w:w="1081"/>
        <w:gridCol w:w="1124"/>
      </w:tblGrid>
      <w:tr w14:paraId="01E6DA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9" w:hRule="atLeast"/>
        </w:trPr>
        <w:tc>
          <w:tcPr>
            <w:tcW w:w="739" w:type="dxa"/>
            <w:vAlign w:val="top"/>
          </w:tcPr>
          <w:p w14:paraId="022BD583">
            <w:pPr>
              <w:spacing w:line="340" w:lineRule="auto"/>
              <w:rPr>
                <w:rFonts w:ascii="Arial"/>
                <w:sz w:val="21"/>
              </w:rPr>
            </w:pPr>
          </w:p>
          <w:p w14:paraId="40F6577C">
            <w:pPr>
              <w:spacing w:before="61" w:line="256" w:lineRule="exact"/>
              <w:ind w:left="187"/>
              <w:rPr>
                <w:rFonts w:ascii="仿宋" w:hAnsi="仿宋" w:eastAsia="仿宋" w:cs="仿宋"/>
                <w:sz w:val="19"/>
                <w:szCs w:val="19"/>
              </w:rPr>
            </w:pPr>
            <w:r>
              <w:rPr>
                <w:rFonts w:ascii="仿宋" w:hAnsi="仿宋" w:eastAsia="仿宋" w:cs="仿宋"/>
                <w:b/>
                <w:bCs/>
                <w:spacing w:val="-4"/>
                <w:position w:val="1"/>
                <w:sz w:val="19"/>
                <w:szCs w:val="19"/>
              </w:rPr>
              <w:t>序号</w:t>
            </w:r>
          </w:p>
        </w:tc>
        <w:tc>
          <w:tcPr>
            <w:tcW w:w="1426" w:type="dxa"/>
            <w:vAlign w:val="top"/>
          </w:tcPr>
          <w:p w14:paraId="3D352C73">
            <w:pPr>
              <w:spacing w:line="340" w:lineRule="auto"/>
              <w:rPr>
                <w:rFonts w:ascii="Arial"/>
                <w:sz w:val="21"/>
              </w:rPr>
            </w:pPr>
          </w:p>
          <w:p w14:paraId="5C490EE9">
            <w:pPr>
              <w:spacing w:before="61" w:line="256" w:lineRule="exact"/>
              <w:ind w:left="465"/>
              <w:rPr>
                <w:rFonts w:ascii="仿宋" w:hAnsi="仿宋" w:eastAsia="仿宋" w:cs="仿宋"/>
                <w:sz w:val="19"/>
                <w:szCs w:val="19"/>
              </w:rPr>
            </w:pPr>
            <w:r>
              <w:rPr>
                <w:rFonts w:ascii="仿宋" w:hAnsi="仿宋" w:eastAsia="仿宋" w:cs="仿宋"/>
                <w:b/>
                <w:bCs/>
                <w:spacing w:val="-2"/>
                <w:position w:val="1"/>
                <w:sz w:val="19"/>
                <w:szCs w:val="19"/>
              </w:rPr>
              <w:t>机型</w:t>
            </w:r>
          </w:p>
        </w:tc>
        <w:tc>
          <w:tcPr>
            <w:tcW w:w="4422" w:type="dxa"/>
            <w:vAlign w:val="top"/>
          </w:tcPr>
          <w:p w14:paraId="5E933FB6">
            <w:pPr>
              <w:spacing w:line="340" w:lineRule="auto"/>
              <w:rPr>
                <w:rFonts w:ascii="Arial"/>
                <w:sz w:val="21"/>
              </w:rPr>
            </w:pPr>
          </w:p>
          <w:p w14:paraId="189034FC">
            <w:pPr>
              <w:spacing w:before="61" w:line="256" w:lineRule="exact"/>
              <w:ind w:left="1896"/>
              <w:rPr>
                <w:rFonts w:ascii="仿宋" w:hAnsi="仿宋" w:eastAsia="仿宋" w:cs="仿宋"/>
                <w:sz w:val="19"/>
                <w:szCs w:val="19"/>
              </w:rPr>
            </w:pPr>
            <w:r>
              <w:rPr>
                <w:rFonts w:ascii="仿宋" w:hAnsi="仿宋" w:eastAsia="仿宋" w:cs="仿宋"/>
                <w:b/>
                <w:bCs/>
                <w:spacing w:val="-1"/>
                <w:position w:val="1"/>
                <w:sz w:val="19"/>
                <w:szCs w:val="19"/>
              </w:rPr>
              <w:t>机具类别</w:t>
            </w:r>
          </w:p>
        </w:tc>
        <w:tc>
          <w:tcPr>
            <w:tcW w:w="1081" w:type="dxa"/>
            <w:vAlign w:val="top"/>
          </w:tcPr>
          <w:p w14:paraId="6213088A">
            <w:pPr>
              <w:spacing w:before="61" w:line="310" w:lineRule="auto"/>
              <w:ind w:left="169" w:right="138" w:hanging="1"/>
              <w:jc w:val="both"/>
              <w:rPr>
                <w:rFonts w:ascii="仿宋" w:hAnsi="仿宋" w:eastAsia="仿宋" w:cs="仿宋"/>
                <w:sz w:val="19"/>
                <w:szCs w:val="19"/>
              </w:rPr>
            </w:pPr>
            <w:r>
              <w:rPr>
                <w:rFonts w:ascii="仿宋" w:hAnsi="仿宋" w:eastAsia="仿宋" w:cs="仿宋"/>
                <w:b/>
                <w:bCs/>
                <w:spacing w:val="-1"/>
                <w:sz w:val="19"/>
                <w:szCs w:val="19"/>
              </w:rPr>
              <w:t>基本政策</w:t>
            </w:r>
            <w:r>
              <w:rPr>
                <w:rFonts w:ascii="仿宋" w:hAnsi="仿宋" w:eastAsia="仿宋" w:cs="仿宋"/>
                <w:sz w:val="19"/>
                <w:szCs w:val="19"/>
              </w:rPr>
              <w:t xml:space="preserve"> </w:t>
            </w:r>
            <w:r>
              <w:rPr>
                <w:rFonts w:ascii="仿宋" w:hAnsi="仿宋" w:eastAsia="仿宋" w:cs="仿宋"/>
                <w:b/>
                <w:bCs/>
                <w:spacing w:val="-2"/>
                <w:sz w:val="19"/>
                <w:szCs w:val="19"/>
              </w:rPr>
              <w:t>报废补贴</w:t>
            </w:r>
            <w:r>
              <w:rPr>
                <w:rFonts w:ascii="仿宋" w:hAnsi="仿宋" w:eastAsia="仿宋" w:cs="仿宋"/>
                <w:spacing w:val="2"/>
                <w:sz w:val="19"/>
                <w:szCs w:val="19"/>
              </w:rPr>
              <w:t xml:space="preserve"> </w:t>
            </w:r>
            <w:r>
              <w:rPr>
                <w:rFonts w:ascii="仿宋" w:hAnsi="仿宋" w:eastAsia="仿宋" w:cs="仿宋"/>
                <w:b/>
                <w:bCs/>
                <w:spacing w:val="-1"/>
                <w:sz w:val="19"/>
                <w:szCs w:val="19"/>
              </w:rPr>
              <w:t>额（元）</w:t>
            </w:r>
          </w:p>
        </w:tc>
        <w:tc>
          <w:tcPr>
            <w:tcW w:w="1124" w:type="dxa"/>
            <w:vAlign w:val="top"/>
          </w:tcPr>
          <w:p w14:paraId="3E7F1F4E">
            <w:pPr>
              <w:spacing w:before="61" w:line="310" w:lineRule="auto"/>
              <w:ind w:left="187" w:right="163"/>
              <w:jc w:val="both"/>
              <w:rPr>
                <w:rFonts w:ascii="仿宋" w:hAnsi="仿宋" w:eastAsia="仿宋" w:cs="仿宋"/>
                <w:sz w:val="19"/>
                <w:szCs w:val="19"/>
              </w:rPr>
            </w:pPr>
            <w:r>
              <w:rPr>
                <w:rFonts w:ascii="仿宋" w:hAnsi="仿宋" w:eastAsia="仿宋" w:cs="仿宋"/>
                <w:b/>
                <w:bCs/>
                <w:spacing w:val="-1"/>
                <w:sz w:val="19"/>
                <w:szCs w:val="19"/>
              </w:rPr>
              <w:t>加力政策</w:t>
            </w:r>
            <w:r>
              <w:rPr>
                <w:rFonts w:ascii="仿宋" w:hAnsi="仿宋" w:eastAsia="仿宋" w:cs="仿宋"/>
                <w:sz w:val="19"/>
                <w:szCs w:val="19"/>
              </w:rPr>
              <w:t xml:space="preserve"> </w:t>
            </w:r>
            <w:r>
              <w:rPr>
                <w:rFonts w:ascii="仿宋" w:hAnsi="仿宋" w:eastAsia="仿宋" w:cs="仿宋"/>
                <w:b/>
                <w:bCs/>
                <w:spacing w:val="-2"/>
                <w:sz w:val="19"/>
                <w:szCs w:val="19"/>
              </w:rPr>
              <w:t>报废补贴</w:t>
            </w:r>
            <w:r>
              <w:rPr>
                <w:rFonts w:ascii="仿宋" w:hAnsi="仿宋" w:eastAsia="仿宋" w:cs="仿宋"/>
                <w:spacing w:val="2"/>
                <w:sz w:val="19"/>
                <w:szCs w:val="19"/>
              </w:rPr>
              <w:t xml:space="preserve"> </w:t>
            </w:r>
            <w:r>
              <w:rPr>
                <w:rFonts w:ascii="仿宋" w:hAnsi="仿宋" w:eastAsia="仿宋" w:cs="仿宋"/>
                <w:b/>
                <w:bCs/>
                <w:spacing w:val="-1"/>
                <w:sz w:val="19"/>
                <w:szCs w:val="19"/>
              </w:rPr>
              <w:t>额（元）</w:t>
            </w:r>
          </w:p>
        </w:tc>
      </w:tr>
      <w:tr w14:paraId="26E4AA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restart"/>
            <w:tcBorders>
              <w:bottom w:val="nil"/>
            </w:tcBorders>
            <w:vAlign w:val="top"/>
          </w:tcPr>
          <w:p w14:paraId="54DD309D">
            <w:pPr>
              <w:spacing w:line="248" w:lineRule="auto"/>
              <w:rPr>
                <w:rFonts w:ascii="Arial"/>
                <w:sz w:val="21"/>
              </w:rPr>
            </w:pPr>
          </w:p>
          <w:p w14:paraId="268F0918">
            <w:pPr>
              <w:spacing w:line="248" w:lineRule="auto"/>
              <w:rPr>
                <w:rFonts w:ascii="Arial"/>
                <w:sz w:val="21"/>
              </w:rPr>
            </w:pPr>
          </w:p>
          <w:p w14:paraId="6D41893A">
            <w:pPr>
              <w:spacing w:line="248" w:lineRule="auto"/>
              <w:rPr>
                <w:rFonts w:ascii="Arial"/>
                <w:sz w:val="21"/>
              </w:rPr>
            </w:pPr>
          </w:p>
          <w:p w14:paraId="0F1A48CA">
            <w:pPr>
              <w:spacing w:line="248" w:lineRule="auto"/>
              <w:rPr>
                <w:rFonts w:ascii="Arial"/>
                <w:sz w:val="21"/>
              </w:rPr>
            </w:pPr>
          </w:p>
          <w:p w14:paraId="7A9ED6E9">
            <w:pPr>
              <w:spacing w:line="248" w:lineRule="auto"/>
              <w:rPr>
                <w:rFonts w:ascii="Arial"/>
                <w:sz w:val="21"/>
              </w:rPr>
            </w:pPr>
          </w:p>
          <w:p w14:paraId="6C917291">
            <w:pPr>
              <w:spacing w:line="249" w:lineRule="auto"/>
              <w:rPr>
                <w:rFonts w:ascii="Arial"/>
                <w:sz w:val="21"/>
              </w:rPr>
            </w:pPr>
          </w:p>
          <w:p w14:paraId="71DC308B">
            <w:pPr>
              <w:pStyle w:val="11"/>
              <w:spacing w:before="54" w:line="195" w:lineRule="auto"/>
              <w:ind w:left="331"/>
            </w:pPr>
            <w:r>
              <w:rPr>
                <w:b/>
                <w:bCs/>
              </w:rPr>
              <w:t>1</w:t>
            </w:r>
          </w:p>
        </w:tc>
        <w:tc>
          <w:tcPr>
            <w:tcW w:w="1426" w:type="dxa"/>
            <w:vMerge w:val="restart"/>
            <w:tcBorders>
              <w:bottom w:val="nil"/>
            </w:tcBorders>
            <w:vAlign w:val="top"/>
          </w:tcPr>
          <w:p w14:paraId="24EA8668">
            <w:pPr>
              <w:spacing w:line="287" w:lineRule="auto"/>
              <w:rPr>
                <w:rFonts w:ascii="Arial"/>
                <w:sz w:val="21"/>
              </w:rPr>
            </w:pPr>
          </w:p>
          <w:p w14:paraId="32EA52DA">
            <w:pPr>
              <w:spacing w:line="287" w:lineRule="auto"/>
              <w:rPr>
                <w:rFonts w:ascii="Arial"/>
                <w:sz w:val="21"/>
              </w:rPr>
            </w:pPr>
          </w:p>
          <w:p w14:paraId="05ABDCD5">
            <w:pPr>
              <w:spacing w:line="287" w:lineRule="auto"/>
              <w:rPr>
                <w:rFonts w:ascii="Arial"/>
                <w:sz w:val="21"/>
              </w:rPr>
            </w:pPr>
          </w:p>
          <w:p w14:paraId="50222D6A">
            <w:pPr>
              <w:spacing w:line="287" w:lineRule="auto"/>
              <w:rPr>
                <w:rFonts w:ascii="Arial"/>
                <w:sz w:val="21"/>
              </w:rPr>
            </w:pPr>
          </w:p>
          <w:p w14:paraId="60B13A06">
            <w:pPr>
              <w:spacing w:line="287" w:lineRule="auto"/>
              <w:rPr>
                <w:rFonts w:ascii="Arial"/>
                <w:sz w:val="21"/>
              </w:rPr>
            </w:pPr>
          </w:p>
          <w:p w14:paraId="69B9E179">
            <w:pPr>
              <w:spacing w:before="62" w:line="255" w:lineRule="exact"/>
              <w:ind w:left="371"/>
              <w:rPr>
                <w:rFonts w:ascii="仿宋" w:hAnsi="仿宋" w:eastAsia="仿宋" w:cs="仿宋"/>
                <w:sz w:val="19"/>
                <w:szCs w:val="19"/>
              </w:rPr>
            </w:pPr>
            <w:r>
              <w:rPr>
                <w:rFonts w:ascii="仿宋" w:hAnsi="仿宋" w:eastAsia="仿宋" w:cs="仿宋"/>
                <w:position w:val="1"/>
                <w:sz w:val="19"/>
                <w:szCs w:val="19"/>
              </w:rPr>
              <w:t>拖拉机</w:t>
            </w:r>
          </w:p>
        </w:tc>
        <w:tc>
          <w:tcPr>
            <w:tcW w:w="4422" w:type="dxa"/>
            <w:vAlign w:val="top"/>
          </w:tcPr>
          <w:p w14:paraId="3A854D78">
            <w:pPr>
              <w:pStyle w:val="11"/>
              <w:spacing w:before="116" w:line="256" w:lineRule="exact"/>
              <w:ind w:left="1770"/>
              <w:rPr>
                <w:rFonts w:ascii="仿宋" w:hAnsi="仿宋" w:eastAsia="仿宋" w:cs="仿宋"/>
              </w:rPr>
            </w:pPr>
            <w:r>
              <w:rPr>
                <w:position w:val="1"/>
              </w:rPr>
              <w:t>20</w:t>
            </w:r>
            <w:r>
              <w:rPr>
                <w:spacing w:val="12"/>
                <w:position w:val="1"/>
              </w:rPr>
              <w:t xml:space="preserve"> </w:t>
            </w:r>
            <w:r>
              <w:rPr>
                <w:rFonts w:ascii="仿宋" w:hAnsi="仿宋" w:eastAsia="仿宋" w:cs="仿宋"/>
                <w:position w:val="1"/>
              </w:rPr>
              <w:t>马力以下</w:t>
            </w:r>
          </w:p>
        </w:tc>
        <w:tc>
          <w:tcPr>
            <w:tcW w:w="1081" w:type="dxa"/>
            <w:vAlign w:val="top"/>
          </w:tcPr>
          <w:p w14:paraId="64F16FAD">
            <w:pPr>
              <w:pStyle w:val="11"/>
              <w:spacing w:before="163" w:line="195" w:lineRule="auto"/>
              <w:ind w:left="371"/>
            </w:pPr>
            <w:r>
              <w:rPr>
                <w:spacing w:val="-4"/>
              </w:rPr>
              <w:t>1000</w:t>
            </w:r>
          </w:p>
        </w:tc>
        <w:tc>
          <w:tcPr>
            <w:tcW w:w="1124" w:type="dxa"/>
            <w:vAlign w:val="top"/>
          </w:tcPr>
          <w:p w14:paraId="505A5B19">
            <w:pPr>
              <w:pStyle w:val="11"/>
              <w:spacing w:before="163" w:line="195" w:lineRule="auto"/>
              <w:ind w:left="391"/>
            </w:pPr>
            <w:r>
              <w:rPr>
                <w:spacing w:val="-4"/>
              </w:rPr>
              <w:t>1500</w:t>
            </w:r>
          </w:p>
        </w:tc>
      </w:tr>
      <w:tr w14:paraId="0E0EA8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739" w:type="dxa"/>
            <w:vMerge w:val="continue"/>
            <w:tcBorders>
              <w:top w:val="nil"/>
              <w:bottom w:val="nil"/>
            </w:tcBorders>
            <w:vAlign w:val="top"/>
          </w:tcPr>
          <w:p w14:paraId="060281D9">
            <w:pPr>
              <w:rPr>
                <w:rFonts w:ascii="Arial"/>
                <w:sz w:val="21"/>
              </w:rPr>
            </w:pPr>
          </w:p>
        </w:tc>
        <w:tc>
          <w:tcPr>
            <w:tcW w:w="1426" w:type="dxa"/>
            <w:vMerge w:val="continue"/>
            <w:tcBorders>
              <w:top w:val="nil"/>
              <w:bottom w:val="nil"/>
            </w:tcBorders>
            <w:vAlign w:val="top"/>
          </w:tcPr>
          <w:p w14:paraId="4614AA3C">
            <w:pPr>
              <w:rPr>
                <w:rFonts w:ascii="Arial"/>
                <w:sz w:val="21"/>
              </w:rPr>
            </w:pPr>
          </w:p>
        </w:tc>
        <w:tc>
          <w:tcPr>
            <w:tcW w:w="4422" w:type="dxa"/>
            <w:vAlign w:val="top"/>
          </w:tcPr>
          <w:p w14:paraId="06E00BF4">
            <w:pPr>
              <w:pStyle w:val="11"/>
              <w:spacing w:before="116" w:line="257" w:lineRule="exact"/>
              <w:ind w:left="1259"/>
              <w:rPr>
                <w:rFonts w:ascii="仿宋" w:hAnsi="仿宋" w:eastAsia="仿宋" w:cs="仿宋"/>
              </w:rPr>
            </w:pPr>
            <w:r>
              <w:rPr>
                <w:spacing w:val="1"/>
                <w:position w:val="1"/>
              </w:rPr>
              <w:t>20</w:t>
            </w:r>
            <w:r>
              <w:rPr>
                <w:rFonts w:ascii="仿宋" w:hAnsi="仿宋" w:eastAsia="仿宋" w:cs="仿宋"/>
                <w:spacing w:val="1"/>
                <w:position w:val="1"/>
              </w:rPr>
              <w:t>（含）</w:t>
            </w:r>
            <w:r>
              <w:rPr>
                <w:spacing w:val="1"/>
                <w:position w:val="1"/>
              </w:rPr>
              <w:t xml:space="preserve">-50 </w:t>
            </w:r>
            <w:r>
              <w:rPr>
                <w:rFonts w:ascii="仿宋" w:hAnsi="仿宋" w:eastAsia="仿宋" w:cs="仿宋"/>
                <w:spacing w:val="1"/>
                <w:position w:val="1"/>
              </w:rPr>
              <w:t>马力（含）</w:t>
            </w:r>
          </w:p>
        </w:tc>
        <w:tc>
          <w:tcPr>
            <w:tcW w:w="1081" w:type="dxa"/>
            <w:vAlign w:val="top"/>
          </w:tcPr>
          <w:p w14:paraId="60D43BB0">
            <w:pPr>
              <w:pStyle w:val="11"/>
              <w:spacing w:before="163" w:line="195" w:lineRule="auto"/>
              <w:ind w:left="355"/>
            </w:pPr>
            <w:r>
              <w:t>3850</w:t>
            </w:r>
          </w:p>
        </w:tc>
        <w:tc>
          <w:tcPr>
            <w:tcW w:w="1124" w:type="dxa"/>
            <w:vAlign w:val="top"/>
          </w:tcPr>
          <w:p w14:paraId="59EFA4A6">
            <w:pPr>
              <w:pStyle w:val="11"/>
              <w:spacing w:before="99" w:line="262" w:lineRule="exact"/>
              <w:ind w:left="534"/>
            </w:pPr>
            <w:r>
              <w:rPr>
                <w:spacing w:val="2"/>
                <w:position w:val="1"/>
              </w:rPr>
              <w:t>/</w:t>
            </w:r>
          </w:p>
        </w:tc>
      </w:tr>
      <w:tr w14:paraId="081EE8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739" w:type="dxa"/>
            <w:vMerge w:val="continue"/>
            <w:tcBorders>
              <w:top w:val="nil"/>
              <w:bottom w:val="nil"/>
            </w:tcBorders>
            <w:vAlign w:val="top"/>
          </w:tcPr>
          <w:p w14:paraId="2743C673">
            <w:pPr>
              <w:rPr>
                <w:rFonts w:ascii="Arial"/>
                <w:sz w:val="21"/>
              </w:rPr>
            </w:pPr>
          </w:p>
        </w:tc>
        <w:tc>
          <w:tcPr>
            <w:tcW w:w="1426" w:type="dxa"/>
            <w:vMerge w:val="continue"/>
            <w:tcBorders>
              <w:top w:val="nil"/>
              <w:bottom w:val="nil"/>
            </w:tcBorders>
            <w:vAlign w:val="top"/>
          </w:tcPr>
          <w:p w14:paraId="487F7ED7">
            <w:pPr>
              <w:rPr>
                <w:rFonts w:ascii="Arial"/>
                <w:sz w:val="21"/>
              </w:rPr>
            </w:pPr>
          </w:p>
        </w:tc>
        <w:tc>
          <w:tcPr>
            <w:tcW w:w="4422" w:type="dxa"/>
            <w:vAlign w:val="top"/>
          </w:tcPr>
          <w:p w14:paraId="07045895">
            <w:pPr>
              <w:pStyle w:val="11"/>
              <w:spacing w:before="117" w:line="258" w:lineRule="exact"/>
              <w:ind w:left="1552"/>
              <w:rPr>
                <w:rFonts w:ascii="仿宋" w:hAnsi="仿宋" w:eastAsia="仿宋" w:cs="仿宋"/>
              </w:rPr>
            </w:pPr>
            <w:r>
              <w:rPr>
                <w:spacing w:val="1"/>
                <w:position w:val="1"/>
              </w:rPr>
              <w:t xml:space="preserve">50-80 </w:t>
            </w:r>
            <w:r>
              <w:rPr>
                <w:rFonts w:ascii="仿宋" w:hAnsi="仿宋" w:eastAsia="仿宋" w:cs="仿宋"/>
                <w:spacing w:val="1"/>
                <w:position w:val="1"/>
              </w:rPr>
              <w:t>马力（含）</w:t>
            </w:r>
          </w:p>
        </w:tc>
        <w:tc>
          <w:tcPr>
            <w:tcW w:w="1081" w:type="dxa"/>
            <w:vAlign w:val="top"/>
          </w:tcPr>
          <w:p w14:paraId="718B5C4A">
            <w:pPr>
              <w:pStyle w:val="11"/>
              <w:spacing w:before="164" w:line="195" w:lineRule="auto"/>
              <w:ind w:left="355"/>
            </w:pPr>
            <w:r>
              <w:t>7860</w:t>
            </w:r>
          </w:p>
        </w:tc>
        <w:tc>
          <w:tcPr>
            <w:tcW w:w="1124" w:type="dxa"/>
            <w:vAlign w:val="top"/>
          </w:tcPr>
          <w:p w14:paraId="04723EBF">
            <w:pPr>
              <w:pStyle w:val="11"/>
              <w:spacing w:before="101" w:line="261" w:lineRule="exact"/>
              <w:ind w:left="534"/>
            </w:pPr>
            <w:r>
              <w:rPr>
                <w:spacing w:val="2"/>
                <w:position w:val="1"/>
              </w:rPr>
              <w:t>/</w:t>
            </w:r>
          </w:p>
        </w:tc>
      </w:tr>
      <w:tr w14:paraId="273170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284021ED">
            <w:pPr>
              <w:rPr>
                <w:rFonts w:ascii="Arial"/>
                <w:sz w:val="21"/>
              </w:rPr>
            </w:pPr>
          </w:p>
        </w:tc>
        <w:tc>
          <w:tcPr>
            <w:tcW w:w="1426" w:type="dxa"/>
            <w:vMerge w:val="continue"/>
            <w:tcBorders>
              <w:top w:val="nil"/>
              <w:bottom w:val="nil"/>
            </w:tcBorders>
            <w:vAlign w:val="top"/>
          </w:tcPr>
          <w:p w14:paraId="42B5E712">
            <w:pPr>
              <w:rPr>
                <w:rFonts w:ascii="Arial"/>
                <w:sz w:val="21"/>
              </w:rPr>
            </w:pPr>
          </w:p>
        </w:tc>
        <w:tc>
          <w:tcPr>
            <w:tcW w:w="4422" w:type="dxa"/>
            <w:vAlign w:val="top"/>
          </w:tcPr>
          <w:p w14:paraId="1259C11E">
            <w:pPr>
              <w:pStyle w:val="11"/>
              <w:spacing w:before="118" w:line="258" w:lineRule="exact"/>
              <w:ind w:left="1507"/>
              <w:rPr>
                <w:rFonts w:ascii="仿宋" w:hAnsi="仿宋" w:eastAsia="仿宋" w:cs="仿宋"/>
              </w:rPr>
            </w:pPr>
            <w:r>
              <w:rPr>
                <w:spacing w:val="1"/>
                <w:position w:val="1"/>
              </w:rPr>
              <w:t xml:space="preserve">80-100 </w:t>
            </w:r>
            <w:r>
              <w:rPr>
                <w:rFonts w:ascii="仿宋" w:hAnsi="仿宋" w:eastAsia="仿宋" w:cs="仿宋"/>
                <w:spacing w:val="1"/>
                <w:position w:val="1"/>
              </w:rPr>
              <w:t>马力（含）</w:t>
            </w:r>
          </w:p>
        </w:tc>
        <w:tc>
          <w:tcPr>
            <w:tcW w:w="1081" w:type="dxa"/>
            <w:vAlign w:val="top"/>
          </w:tcPr>
          <w:p w14:paraId="3195215A">
            <w:pPr>
              <w:pStyle w:val="11"/>
              <w:spacing w:before="166" w:line="195" w:lineRule="auto"/>
              <w:ind w:left="323"/>
            </w:pPr>
            <w:r>
              <w:rPr>
                <w:spacing w:val="-3"/>
              </w:rPr>
              <w:t>10840</w:t>
            </w:r>
          </w:p>
        </w:tc>
        <w:tc>
          <w:tcPr>
            <w:tcW w:w="1124" w:type="dxa"/>
            <w:vAlign w:val="top"/>
          </w:tcPr>
          <w:p w14:paraId="5135116F">
            <w:pPr>
              <w:pStyle w:val="11"/>
              <w:spacing w:before="102" w:line="261" w:lineRule="exact"/>
              <w:ind w:left="534"/>
            </w:pPr>
            <w:r>
              <w:rPr>
                <w:spacing w:val="2"/>
                <w:position w:val="1"/>
              </w:rPr>
              <w:t>/</w:t>
            </w:r>
          </w:p>
        </w:tc>
      </w:tr>
      <w:tr w14:paraId="79AC67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4E4D16E9">
            <w:pPr>
              <w:rPr>
                <w:rFonts w:ascii="Arial"/>
                <w:sz w:val="21"/>
              </w:rPr>
            </w:pPr>
          </w:p>
        </w:tc>
        <w:tc>
          <w:tcPr>
            <w:tcW w:w="1426" w:type="dxa"/>
            <w:vMerge w:val="continue"/>
            <w:tcBorders>
              <w:top w:val="nil"/>
              <w:bottom w:val="nil"/>
            </w:tcBorders>
            <w:vAlign w:val="top"/>
          </w:tcPr>
          <w:p w14:paraId="0BC42D8D">
            <w:pPr>
              <w:rPr>
                <w:rFonts w:ascii="Arial"/>
                <w:sz w:val="21"/>
              </w:rPr>
            </w:pPr>
          </w:p>
        </w:tc>
        <w:tc>
          <w:tcPr>
            <w:tcW w:w="4422" w:type="dxa"/>
            <w:vAlign w:val="top"/>
          </w:tcPr>
          <w:p w14:paraId="781C0E82">
            <w:pPr>
              <w:pStyle w:val="11"/>
              <w:spacing w:before="119" w:line="257" w:lineRule="exact"/>
              <w:ind w:left="1470"/>
              <w:rPr>
                <w:rFonts w:ascii="仿宋" w:hAnsi="仿宋" w:eastAsia="仿宋" w:cs="仿宋"/>
              </w:rPr>
            </w:pPr>
            <w:r>
              <w:rPr>
                <w:position w:val="1"/>
              </w:rPr>
              <w:t xml:space="preserve">100-160 </w:t>
            </w:r>
            <w:r>
              <w:rPr>
                <w:rFonts w:ascii="仿宋" w:hAnsi="仿宋" w:eastAsia="仿宋" w:cs="仿宋"/>
                <w:position w:val="1"/>
              </w:rPr>
              <w:t>马力（含）</w:t>
            </w:r>
          </w:p>
        </w:tc>
        <w:tc>
          <w:tcPr>
            <w:tcW w:w="1081" w:type="dxa"/>
            <w:vAlign w:val="top"/>
          </w:tcPr>
          <w:p w14:paraId="1378B4B8">
            <w:pPr>
              <w:pStyle w:val="11"/>
              <w:spacing w:before="166" w:line="195" w:lineRule="auto"/>
              <w:ind w:left="323"/>
            </w:pPr>
            <w:r>
              <w:rPr>
                <w:spacing w:val="-3"/>
              </w:rPr>
              <w:t>13140</w:t>
            </w:r>
          </w:p>
        </w:tc>
        <w:tc>
          <w:tcPr>
            <w:tcW w:w="1124" w:type="dxa"/>
            <w:vAlign w:val="top"/>
          </w:tcPr>
          <w:p w14:paraId="6526EAB3">
            <w:pPr>
              <w:pStyle w:val="11"/>
              <w:spacing w:before="102" w:line="261" w:lineRule="exact"/>
              <w:ind w:left="534"/>
            </w:pPr>
            <w:r>
              <w:rPr>
                <w:spacing w:val="2"/>
                <w:position w:val="1"/>
              </w:rPr>
              <w:t>/</w:t>
            </w:r>
          </w:p>
        </w:tc>
      </w:tr>
      <w:tr w14:paraId="5F753F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60494EC5">
            <w:pPr>
              <w:rPr>
                <w:rFonts w:ascii="Arial"/>
                <w:sz w:val="21"/>
              </w:rPr>
            </w:pPr>
          </w:p>
        </w:tc>
        <w:tc>
          <w:tcPr>
            <w:tcW w:w="1426" w:type="dxa"/>
            <w:vMerge w:val="continue"/>
            <w:tcBorders>
              <w:top w:val="nil"/>
              <w:bottom w:val="nil"/>
            </w:tcBorders>
            <w:vAlign w:val="top"/>
          </w:tcPr>
          <w:p w14:paraId="452B2216">
            <w:pPr>
              <w:rPr>
                <w:rFonts w:ascii="Arial"/>
                <w:sz w:val="21"/>
              </w:rPr>
            </w:pPr>
          </w:p>
        </w:tc>
        <w:tc>
          <w:tcPr>
            <w:tcW w:w="4422" w:type="dxa"/>
            <w:vAlign w:val="top"/>
          </w:tcPr>
          <w:p w14:paraId="7F6929BD">
            <w:pPr>
              <w:pStyle w:val="11"/>
              <w:spacing w:before="119" w:line="257" w:lineRule="exact"/>
              <w:ind w:left="1470"/>
              <w:rPr>
                <w:rFonts w:ascii="仿宋" w:hAnsi="仿宋" w:eastAsia="仿宋" w:cs="仿宋"/>
              </w:rPr>
            </w:pPr>
            <w:r>
              <w:rPr>
                <w:position w:val="1"/>
              </w:rPr>
              <w:t xml:space="preserve">160-200 </w:t>
            </w:r>
            <w:r>
              <w:rPr>
                <w:rFonts w:ascii="仿宋" w:hAnsi="仿宋" w:eastAsia="仿宋" w:cs="仿宋"/>
                <w:position w:val="1"/>
              </w:rPr>
              <w:t>马力（含）</w:t>
            </w:r>
          </w:p>
        </w:tc>
        <w:tc>
          <w:tcPr>
            <w:tcW w:w="1081" w:type="dxa"/>
            <w:vAlign w:val="top"/>
          </w:tcPr>
          <w:p w14:paraId="2EBA3297">
            <w:pPr>
              <w:pStyle w:val="11"/>
              <w:spacing w:before="166" w:line="195" w:lineRule="auto"/>
              <w:ind w:left="323"/>
            </w:pPr>
            <w:r>
              <w:rPr>
                <w:spacing w:val="-3"/>
              </w:rPr>
              <w:t>18000</w:t>
            </w:r>
          </w:p>
        </w:tc>
        <w:tc>
          <w:tcPr>
            <w:tcW w:w="1124" w:type="dxa"/>
            <w:vAlign w:val="top"/>
          </w:tcPr>
          <w:p w14:paraId="453967C0">
            <w:pPr>
              <w:pStyle w:val="11"/>
              <w:spacing w:before="102" w:line="261" w:lineRule="exact"/>
              <w:ind w:left="534"/>
            </w:pPr>
            <w:r>
              <w:rPr>
                <w:spacing w:val="2"/>
                <w:position w:val="1"/>
              </w:rPr>
              <w:t>/</w:t>
            </w:r>
          </w:p>
        </w:tc>
      </w:tr>
      <w:tr w14:paraId="2A5982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tcBorders>
            <w:vAlign w:val="top"/>
          </w:tcPr>
          <w:p w14:paraId="6E66EE62">
            <w:pPr>
              <w:rPr>
                <w:rFonts w:ascii="Arial"/>
                <w:sz w:val="21"/>
              </w:rPr>
            </w:pPr>
          </w:p>
        </w:tc>
        <w:tc>
          <w:tcPr>
            <w:tcW w:w="1426" w:type="dxa"/>
            <w:vMerge w:val="continue"/>
            <w:tcBorders>
              <w:top w:val="nil"/>
            </w:tcBorders>
            <w:vAlign w:val="top"/>
          </w:tcPr>
          <w:p w14:paraId="6EBAF8BB">
            <w:pPr>
              <w:rPr>
                <w:rFonts w:ascii="Arial"/>
                <w:sz w:val="21"/>
              </w:rPr>
            </w:pPr>
          </w:p>
        </w:tc>
        <w:tc>
          <w:tcPr>
            <w:tcW w:w="4422" w:type="dxa"/>
            <w:vAlign w:val="top"/>
          </w:tcPr>
          <w:p w14:paraId="6895F780">
            <w:pPr>
              <w:pStyle w:val="11"/>
              <w:spacing w:before="117" w:line="257" w:lineRule="exact"/>
              <w:ind w:left="1722"/>
              <w:rPr>
                <w:rFonts w:ascii="仿宋" w:hAnsi="仿宋" w:eastAsia="仿宋" w:cs="仿宋"/>
              </w:rPr>
            </w:pPr>
            <w:r>
              <w:rPr>
                <w:position w:val="1"/>
              </w:rPr>
              <w:t>200</w:t>
            </w:r>
            <w:r>
              <w:rPr>
                <w:spacing w:val="13"/>
                <w:position w:val="1"/>
              </w:rPr>
              <w:t xml:space="preserve"> </w:t>
            </w:r>
            <w:r>
              <w:rPr>
                <w:rFonts w:ascii="仿宋" w:hAnsi="仿宋" w:eastAsia="仿宋" w:cs="仿宋"/>
                <w:position w:val="1"/>
              </w:rPr>
              <w:t>马力以上</w:t>
            </w:r>
          </w:p>
        </w:tc>
        <w:tc>
          <w:tcPr>
            <w:tcW w:w="1081" w:type="dxa"/>
            <w:vAlign w:val="top"/>
          </w:tcPr>
          <w:p w14:paraId="3C8DAB62">
            <w:pPr>
              <w:pStyle w:val="11"/>
              <w:spacing w:before="164" w:line="195" w:lineRule="auto"/>
              <w:ind w:left="303"/>
            </w:pPr>
            <w:r>
              <w:rPr>
                <w:spacing w:val="1"/>
              </w:rPr>
              <w:t>20000</w:t>
            </w:r>
          </w:p>
        </w:tc>
        <w:tc>
          <w:tcPr>
            <w:tcW w:w="1124" w:type="dxa"/>
            <w:vAlign w:val="top"/>
          </w:tcPr>
          <w:p w14:paraId="350AEEEA">
            <w:pPr>
              <w:pStyle w:val="11"/>
              <w:spacing w:before="100" w:line="261" w:lineRule="exact"/>
              <w:ind w:left="534"/>
            </w:pPr>
            <w:r>
              <w:rPr>
                <w:spacing w:val="2"/>
                <w:position w:val="1"/>
              </w:rPr>
              <w:t>/</w:t>
            </w:r>
          </w:p>
        </w:tc>
      </w:tr>
      <w:tr w14:paraId="4B580A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restart"/>
            <w:tcBorders>
              <w:bottom w:val="nil"/>
            </w:tcBorders>
            <w:vAlign w:val="top"/>
          </w:tcPr>
          <w:p w14:paraId="7180B56E">
            <w:pPr>
              <w:spacing w:line="267" w:lineRule="auto"/>
              <w:rPr>
                <w:rFonts w:ascii="Arial"/>
                <w:sz w:val="21"/>
              </w:rPr>
            </w:pPr>
          </w:p>
          <w:p w14:paraId="0B95774A">
            <w:pPr>
              <w:spacing w:line="267" w:lineRule="auto"/>
              <w:rPr>
                <w:rFonts w:ascii="Arial"/>
                <w:sz w:val="21"/>
              </w:rPr>
            </w:pPr>
          </w:p>
          <w:p w14:paraId="5C91A718">
            <w:pPr>
              <w:spacing w:line="267" w:lineRule="auto"/>
              <w:rPr>
                <w:rFonts w:ascii="Arial"/>
                <w:sz w:val="21"/>
              </w:rPr>
            </w:pPr>
          </w:p>
          <w:p w14:paraId="1B1CD84F">
            <w:pPr>
              <w:pStyle w:val="11"/>
              <w:spacing w:before="54" w:line="195" w:lineRule="auto"/>
              <w:ind w:left="322"/>
            </w:pPr>
            <w:r>
              <w:rPr>
                <w:b/>
                <w:bCs/>
              </w:rPr>
              <w:t>2</w:t>
            </w:r>
          </w:p>
        </w:tc>
        <w:tc>
          <w:tcPr>
            <w:tcW w:w="1426" w:type="dxa"/>
            <w:vMerge w:val="restart"/>
            <w:tcBorders>
              <w:bottom w:val="nil"/>
            </w:tcBorders>
            <w:vAlign w:val="top"/>
          </w:tcPr>
          <w:p w14:paraId="1C8B7AB9">
            <w:pPr>
              <w:spacing w:line="248" w:lineRule="auto"/>
              <w:rPr>
                <w:rFonts w:ascii="Arial"/>
                <w:sz w:val="21"/>
              </w:rPr>
            </w:pPr>
          </w:p>
          <w:p w14:paraId="2EE402A7">
            <w:pPr>
              <w:spacing w:line="249" w:lineRule="auto"/>
              <w:rPr>
                <w:rFonts w:ascii="Arial"/>
                <w:sz w:val="21"/>
              </w:rPr>
            </w:pPr>
          </w:p>
          <w:p w14:paraId="7FA22E71">
            <w:pPr>
              <w:spacing w:line="249" w:lineRule="auto"/>
              <w:rPr>
                <w:rFonts w:ascii="Arial"/>
                <w:sz w:val="21"/>
              </w:rPr>
            </w:pPr>
          </w:p>
          <w:p w14:paraId="58585CEC">
            <w:pPr>
              <w:spacing w:before="62" w:line="255" w:lineRule="exact"/>
              <w:ind w:left="369"/>
              <w:rPr>
                <w:rFonts w:ascii="仿宋" w:hAnsi="仿宋" w:eastAsia="仿宋" w:cs="仿宋"/>
                <w:sz w:val="19"/>
                <w:szCs w:val="19"/>
              </w:rPr>
            </w:pPr>
            <w:r>
              <w:rPr>
                <w:rFonts w:ascii="仿宋" w:hAnsi="仿宋" w:eastAsia="仿宋" w:cs="仿宋"/>
                <w:position w:val="1"/>
                <w:sz w:val="19"/>
                <w:szCs w:val="19"/>
              </w:rPr>
              <w:t>播种机</w:t>
            </w:r>
          </w:p>
        </w:tc>
        <w:tc>
          <w:tcPr>
            <w:tcW w:w="4422" w:type="dxa"/>
            <w:vAlign w:val="top"/>
          </w:tcPr>
          <w:p w14:paraId="23FAC7F5">
            <w:pPr>
              <w:pStyle w:val="11"/>
              <w:spacing w:before="117" w:line="254" w:lineRule="exact"/>
              <w:ind w:left="1919"/>
              <w:rPr>
                <w:rFonts w:ascii="仿宋" w:hAnsi="仿宋" w:eastAsia="仿宋" w:cs="仿宋"/>
              </w:rPr>
            </w:pPr>
            <w:r>
              <w:rPr>
                <w:spacing w:val="-1"/>
                <w:position w:val="1"/>
              </w:rPr>
              <w:t>6</w:t>
            </w:r>
            <w:r>
              <w:rPr>
                <w:spacing w:val="8"/>
                <w:position w:val="1"/>
              </w:rPr>
              <w:t xml:space="preserve"> </w:t>
            </w:r>
            <w:r>
              <w:rPr>
                <w:rFonts w:ascii="仿宋" w:hAnsi="仿宋" w:eastAsia="仿宋" w:cs="仿宋"/>
                <w:spacing w:val="-1"/>
                <w:position w:val="1"/>
              </w:rPr>
              <w:t>行以下</w:t>
            </w:r>
          </w:p>
        </w:tc>
        <w:tc>
          <w:tcPr>
            <w:tcW w:w="1081" w:type="dxa"/>
            <w:vAlign w:val="top"/>
          </w:tcPr>
          <w:p w14:paraId="0CE23D7D">
            <w:pPr>
              <w:pStyle w:val="11"/>
              <w:spacing w:before="164" w:line="195" w:lineRule="auto"/>
              <w:ind w:left="404"/>
            </w:pPr>
            <w:r>
              <w:t>600</w:t>
            </w:r>
          </w:p>
        </w:tc>
        <w:tc>
          <w:tcPr>
            <w:tcW w:w="1124" w:type="dxa"/>
            <w:vAlign w:val="top"/>
          </w:tcPr>
          <w:p w14:paraId="73285A49">
            <w:pPr>
              <w:pStyle w:val="11"/>
              <w:spacing w:before="164" w:line="195" w:lineRule="auto"/>
              <w:ind w:left="424"/>
            </w:pPr>
            <w:r>
              <w:t>900</w:t>
            </w:r>
          </w:p>
        </w:tc>
      </w:tr>
      <w:tr w14:paraId="70ECC5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12877AAD">
            <w:pPr>
              <w:rPr>
                <w:rFonts w:ascii="Arial"/>
                <w:sz w:val="21"/>
              </w:rPr>
            </w:pPr>
          </w:p>
        </w:tc>
        <w:tc>
          <w:tcPr>
            <w:tcW w:w="1426" w:type="dxa"/>
            <w:vMerge w:val="continue"/>
            <w:tcBorders>
              <w:top w:val="nil"/>
              <w:bottom w:val="nil"/>
            </w:tcBorders>
            <w:vAlign w:val="top"/>
          </w:tcPr>
          <w:p w14:paraId="20C5680A">
            <w:pPr>
              <w:rPr>
                <w:rFonts w:ascii="Arial"/>
                <w:sz w:val="21"/>
              </w:rPr>
            </w:pPr>
          </w:p>
        </w:tc>
        <w:tc>
          <w:tcPr>
            <w:tcW w:w="4422" w:type="dxa"/>
            <w:vAlign w:val="top"/>
          </w:tcPr>
          <w:p w14:paraId="472264AF">
            <w:pPr>
              <w:pStyle w:val="11"/>
              <w:spacing w:before="117" w:line="254" w:lineRule="exact"/>
              <w:ind w:left="1983"/>
              <w:rPr>
                <w:rFonts w:ascii="仿宋" w:hAnsi="仿宋" w:eastAsia="仿宋" w:cs="仿宋"/>
              </w:rPr>
            </w:pPr>
            <w:r>
              <w:rPr>
                <w:spacing w:val="-1"/>
                <w:position w:val="1"/>
              </w:rPr>
              <w:t>6-11</w:t>
            </w:r>
            <w:r>
              <w:rPr>
                <w:spacing w:val="9"/>
                <w:position w:val="1"/>
              </w:rPr>
              <w:t xml:space="preserve"> </w:t>
            </w:r>
            <w:r>
              <w:rPr>
                <w:rFonts w:ascii="仿宋" w:hAnsi="仿宋" w:eastAsia="仿宋" w:cs="仿宋"/>
                <w:spacing w:val="-1"/>
                <w:position w:val="1"/>
              </w:rPr>
              <w:t>行</w:t>
            </w:r>
          </w:p>
        </w:tc>
        <w:tc>
          <w:tcPr>
            <w:tcW w:w="1081" w:type="dxa"/>
            <w:vAlign w:val="top"/>
          </w:tcPr>
          <w:p w14:paraId="755D2EE8">
            <w:pPr>
              <w:pStyle w:val="11"/>
              <w:spacing w:before="164" w:line="195" w:lineRule="auto"/>
              <w:ind w:left="371"/>
            </w:pPr>
            <w:r>
              <w:rPr>
                <w:spacing w:val="-4"/>
              </w:rPr>
              <w:t>1200</w:t>
            </w:r>
          </w:p>
        </w:tc>
        <w:tc>
          <w:tcPr>
            <w:tcW w:w="1124" w:type="dxa"/>
            <w:vAlign w:val="top"/>
          </w:tcPr>
          <w:p w14:paraId="67735B08">
            <w:pPr>
              <w:pStyle w:val="11"/>
              <w:spacing w:before="164" w:line="195" w:lineRule="auto"/>
              <w:ind w:left="391"/>
            </w:pPr>
            <w:r>
              <w:rPr>
                <w:spacing w:val="-4"/>
              </w:rPr>
              <w:t>1800</w:t>
            </w:r>
          </w:p>
        </w:tc>
      </w:tr>
      <w:tr w14:paraId="405CB0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629C8365">
            <w:pPr>
              <w:rPr>
                <w:rFonts w:ascii="Arial"/>
                <w:sz w:val="21"/>
              </w:rPr>
            </w:pPr>
          </w:p>
        </w:tc>
        <w:tc>
          <w:tcPr>
            <w:tcW w:w="1426" w:type="dxa"/>
            <w:vMerge w:val="continue"/>
            <w:tcBorders>
              <w:top w:val="nil"/>
              <w:bottom w:val="nil"/>
            </w:tcBorders>
            <w:vAlign w:val="top"/>
          </w:tcPr>
          <w:p w14:paraId="4A81FCC4">
            <w:pPr>
              <w:rPr>
                <w:rFonts w:ascii="Arial"/>
                <w:sz w:val="21"/>
              </w:rPr>
            </w:pPr>
          </w:p>
        </w:tc>
        <w:tc>
          <w:tcPr>
            <w:tcW w:w="4422" w:type="dxa"/>
            <w:vAlign w:val="top"/>
          </w:tcPr>
          <w:p w14:paraId="5958A94D">
            <w:pPr>
              <w:pStyle w:val="11"/>
              <w:spacing w:before="117" w:line="255" w:lineRule="exact"/>
              <w:ind w:left="1950"/>
              <w:rPr>
                <w:rFonts w:ascii="仿宋" w:hAnsi="仿宋" w:eastAsia="仿宋" w:cs="仿宋"/>
              </w:rPr>
            </w:pPr>
            <w:r>
              <w:rPr>
                <w:spacing w:val="-3"/>
                <w:position w:val="1"/>
              </w:rPr>
              <w:t>12-18</w:t>
            </w:r>
            <w:r>
              <w:rPr>
                <w:spacing w:val="9"/>
                <w:position w:val="1"/>
              </w:rPr>
              <w:t xml:space="preserve"> </w:t>
            </w:r>
            <w:r>
              <w:rPr>
                <w:rFonts w:ascii="仿宋" w:hAnsi="仿宋" w:eastAsia="仿宋" w:cs="仿宋"/>
                <w:spacing w:val="-3"/>
                <w:position w:val="1"/>
              </w:rPr>
              <w:t>行</w:t>
            </w:r>
          </w:p>
        </w:tc>
        <w:tc>
          <w:tcPr>
            <w:tcW w:w="1081" w:type="dxa"/>
            <w:vAlign w:val="top"/>
          </w:tcPr>
          <w:p w14:paraId="64FDDE70">
            <w:pPr>
              <w:pStyle w:val="11"/>
              <w:spacing w:before="164" w:line="195" w:lineRule="auto"/>
              <w:ind w:left="371"/>
            </w:pPr>
            <w:r>
              <w:rPr>
                <w:spacing w:val="-4"/>
              </w:rPr>
              <w:t>1600</w:t>
            </w:r>
          </w:p>
        </w:tc>
        <w:tc>
          <w:tcPr>
            <w:tcW w:w="1124" w:type="dxa"/>
            <w:vAlign w:val="top"/>
          </w:tcPr>
          <w:p w14:paraId="32527DD1">
            <w:pPr>
              <w:pStyle w:val="11"/>
              <w:spacing w:before="164" w:line="195" w:lineRule="auto"/>
              <w:ind w:left="372"/>
            </w:pPr>
            <w:r>
              <w:rPr>
                <w:spacing w:val="1"/>
              </w:rPr>
              <w:t>2400</w:t>
            </w:r>
          </w:p>
        </w:tc>
      </w:tr>
      <w:tr w14:paraId="215845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tcBorders>
            <w:vAlign w:val="top"/>
          </w:tcPr>
          <w:p w14:paraId="18B8B51E">
            <w:pPr>
              <w:rPr>
                <w:rFonts w:ascii="Arial"/>
                <w:sz w:val="21"/>
              </w:rPr>
            </w:pPr>
          </w:p>
        </w:tc>
        <w:tc>
          <w:tcPr>
            <w:tcW w:w="1426" w:type="dxa"/>
            <w:vMerge w:val="continue"/>
            <w:tcBorders>
              <w:top w:val="nil"/>
            </w:tcBorders>
            <w:vAlign w:val="top"/>
          </w:tcPr>
          <w:p w14:paraId="19871DAF">
            <w:pPr>
              <w:rPr>
                <w:rFonts w:ascii="Arial"/>
                <w:sz w:val="21"/>
              </w:rPr>
            </w:pPr>
          </w:p>
        </w:tc>
        <w:tc>
          <w:tcPr>
            <w:tcW w:w="4422" w:type="dxa"/>
            <w:vAlign w:val="top"/>
          </w:tcPr>
          <w:p w14:paraId="185B6AD8">
            <w:pPr>
              <w:pStyle w:val="11"/>
              <w:spacing w:before="117" w:line="255" w:lineRule="exact"/>
              <w:ind w:left="1885"/>
              <w:rPr>
                <w:rFonts w:ascii="仿宋" w:hAnsi="仿宋" w:eastAsia="仿宋" w:cs="仿宋"/>
              </w:rPr>
            </w:pPr>
            <w:r>
              <w:rPr>
                <w:spacing w:val="-2"/>
                <w:position w:val="1"/>
              </w:rPr>
              <w:t xml:space="preserve">18 </w:t>
            </w:r>
            <w:r>
              <w:rPr>
                <w:rFonts w:ascii="仿宋" w:hAnsi="仿宋" w:eastAsia="仿宋" w:cs="仿宋"/>
                <w:spacing w:val="-2"/>
                <w:position w:val="1"/>
              </w:rPr>
              <w:t>行以上</w:t>
            </w:r>
          </w:p>
        </w:tc>
        <w:tc>
          <w:tcPr>
            <w:tcW w:w="1081" w:type="dxa"/>
            <w:vAlign w:val="top"/>
          </w:tcPr>
          <w:p w14:paraId="0E4B7DE4">
            <w:pPr>
              <w:pStyle w:val="11"/>
              <w:spacing w:before="165" w:line="195" w:lineRule="auto"/>
              <w:ind w:left="351"/>
            </w:pPr>
            <w:r>
              <w:rPr>
                <w:spacing w:val="1"/>
              </w:rPr>
              <w:t>2000</w:t>
            </w:r>
          </w:p>
        </w:tc>
        <w:tc>
          <w:tcPr>
            <w:tcW w:w="1124" w:type="dxa"/>
            <w:vAlign w:val="top"/>
          </w:tcPr>
          <w:p w14:paraId="1CA71612">
            <w:pPr>
              <w:pStyle w:val="11"/>
              <w:spacing w:before="165" w:line="195" w:lineRule="auto"/>
              <w:ind w:left="376"/>
            </w:pPr>
            <w:r>
              <w:t>3000</w:t>
            </w:r>
          </w:p>
        </w:tc>
      </w:tr>
      <w:tr w14:paraId="63CAE0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restart"/>
            <w:tcBorders>
              <w:bottom w:val="nil"/>
            </w:tcBorders>
            <w:vAlign w:val="top"/>
          </w:tcPr>
          <w:p w14:paraId="73806C4E">
            <w:pPr>
              <w:spacing w:line="243" w:lineRule="auto"/>
              <w:rPr>
                <w:rFonts w:ascii="Arial"/>
                <w:sz w:val="21"/>
              </w:rPr>
            </w:pPr>
          </w:p>
          <w:p w14:paraId="4224996B">
            <w:pPr>
              <w:spacing w:line="243" w:lineRule="auto"/>
              <w:rPr>
                <w:rFonts w:ascii="Arial"/>
                <w:sz w:val="21"/>
              </w:rPr>
            </w:pPr>
          </w:p>
          <w:p w14:paraId="2CF4CCCA">
            <w:pPr>
              <w:spacing w:line="243" w:lineRule="auto"/>
              <w:rPr>
                <w:rFonts w:ascii="Arial"/>
                <w:sz w:val="21"/>
              </w:rPr>
            </w:pPr>
          </w:p>
          <w:p w14:paraId="680A50E0">
            <w:pPr>
              <w:spacing w:line="243" w:lineRule="auto"/>
              <w:rPr>
                <w:rFonts w:ascii="Arial"/>
                <w:sz w:val="21"/>
              </w:rPr>
            </w:pPr>
          </w:p>
          <w:p w14:paraId="16D4B16F">
            <w:pPr>
              <w:spacing w:line="243" w:lineRule="auto"/>
              <w:rPr>
                <w:rFonts w:ascii="Arial"/>
                <w:sz w:val="21"/>
              </w:rPr>
            </w:pPr>
          </w:p>
          <w:p w14:paraId="556F2BB5">
            <w:pPr>
              <w:spacing w:line="243" w:lineRule="auto"/>
              <w:rPr>
                <w:rFonts w:ascii="Arial"/>
                <w:sz w:val="21"/>
              </w:rPr>
            </w:pPr>
          </w:p>
          <w:p w14:paraId="419AE237">
            <w:pPr>
              <w:spacing w:line="243" w:lineRule="auto"/>
              <w:rPr>
                <w:rFonts w:ascii="Arial"/>
                <w:sz w:val="21"/>
              </w:rPr>
            </w:pPr>
          </w:p>
          <w:p w14:paraId="3B6B453C">
            <w:pPr>
              <w:spacing w:line="244" w:lineRule="auto"/>
              <w:rPr>
                <w:rFonts w:ascii="Arial"/>
                <w:sz w:val="21"/>
              </w:rPr>
            </w:pPr>
          </w:p>
          <w:p w14:paraId="69FB3FB8">
            <w:pPr>
              <w:spacing w:line="244" w:lineRule="auto"/>
              <w:rPr>
                <w:rFonts w:ascii="Arial"/>
                <w:sz w:val="21"/>
              </w:rPr>
            </w:pPr>
          </w:p>
          <w:p w14:paraId="610325BF">
            <w:pPr>
              <w:spacing w:line="244" w:lineRule="auto"/>
              <w:rPr>
                <w:rFonts w:ascii="Arial"/>
                <w:sz w:val="21"/>
              </w:rPr>
            </w:pPr>
          </w:p>
          <w:p w14:paraId="4A172018">
            <w:pPr>
              <w:pStyle w:val="11"/>
              <w:spacing w:before="54" w:line="195" w:lineRule="auto"/>
              <w:ind w:left="321"/>
            </w:pPr>
            <w:r>
              <w:rPr>
                <w:b/>
                <w:bCs/>
                <w:spacing w:val="1"/>
              </w:rPr>
              <w:t>3</w:t>
            </w:r>
          </w:p>
        </w:tc>
        <w:tc>
          <w:tcPr>
            <w:tcW w:w="1426" w:type="dxa"/>
            <w:vMerge w:val="restart"/>
            <w:tcBorders>
              <w:bottom w:val="nil"/>
            </w:tcBorders>
            <w:vAlign w:val="top"/>
          </w:tcPr>
          <w:p w14:paraId="7232D77D">
            <w:pPr>
              <w:spacing w:line="389" w:lineRule="auto"/>
              <w:rPr>
                <w:rFonts w:ascii="Arial"/>
                <w:sz w:val="21"/>
              </w:rPr>
            </w:pPr>
          </w:p>
          <w:p w14:paraId="139D143A">
            <w:pPr>
              <w:spacing w:before="62" w:line="257" w:lineRule="exact"/>
              <w:ind w:left="222"/>
              <w:rPr>
                <w:rFonts w:ascii="仿宋" w:hAnsi="仿宋" w:eastAsia="仿宋" w:cs="仿宋"/>
                <w:sz w:val="19"/>
                <w:szCs w:val="19"/>
              </w:rPr>
            </w:pPr>
            <w:r>
              <w:rPr>
                <w:rFonts w:ascii="仿宋" w:hAnsi="仿宋" w:eastAsia="仿宋" w:cs="仿宋"/>
                <w:spacing w:val="-8"/>
                <w:position w:val="1"/>
                <w:sz w:val="19"/>
                <w:szCs w:val="19"/>
              </w:rPr>
              <w:t>自走式全喂</w:t>
            </w:r>
          </w:p>
          <w:p w14:paraId="56834655">
            <w:pPr>
              <w:spacing w:before="103" w:line="257" w:lineRule="exact"/>
              <w:ind w:left="179"/>
              <w:rPr>
                <w:rFonts w:ascii="仿宋" w:hAnsi="仿宋" w:eastAsia="仿宋" w:cs="仿宋"/>
                <w:sz w:val="19"/>
                <w:szCs w:val="19"/>
              </w:rPr>
            </w:pPr>
            <w:r>
              <w:rPr>
                <w:rFonts w:ascii="仿宋" w:hAnsi="仿宋" w:eastAsia="仿宋" w:cs="仿宋"/>
                <w:position w:val="1"/>
                <w:sz w:val="19"/>
                <w:szCs w:val="19"/>
              </w:rPr>
              <w:t>入稻麦联合</w:t>
            </w:r>
          </w:p>
          <w:p w14:paraId="7E8DF877">
            <w:pPr>
              <w:spacing w:before="103" w:line="256" w:lineRule="exact"/>
              <w:ind w:left="382"/>
              <w:rPr>
                <w:rFonts w:ascii="仿宋" w:hAnsi="仿宋" w:eastAsia="仿宋" w:cs="仿宋"/>
                <w:sz w:val="19"/>
                <w:szCs w:val="19"/>
              </w:rPr>
            </w:pPr>
            <w:r>
              <w:rPr>
                <w:rFonts w:ascii="仿宋" w:hAnsi="仿宋" w:eastAsia="仿宋" w:cs="仿宋"/>
                <w:spacing w:val="-4"/>
                <w:position w:val="1"/>
                <w:sz w:val="19"/>
                <w:szCs w:val="19"/>
              </w:rPr>
              <w:t>收割机</w:t>
            </w:r>
          </w:p>
        </w:tc>
        <w:tc>
          <w:tcPr>
            <w:tcW w:w="4422" w:type="dxa"/>
            <w:vAlign w:val="top"/>
          </w:tcPr>
          <w:p w14:paraId="1A519DDC">
            <w:pPr>
              <w:pStyle w:val="11"/>
              <w:spacing w:before="117" w:line="234" w:lineRule="auto"/>
              <w:ind w:left="1338"/>
              <w:rPr>
                <w:rFonts w:ascii="仿宋" w:hAnsi="仿宋" w:eastAsia="仿宋" w:cs="仿宋"/>
              </w:rPr>
            </w:pPr>
            <w:r>
              <w:rPr>
                <w:rFonts w:ascii="仿宋" w:hAnsi="仿宋" w:eastAsia="仿宋" w:cs="仿宋"/>
                <w:spacing w:val="-1"/>
              </w:rPr>
              <w:t>喂入量</w:t>
            </w:r>
            <w:r>
              <w:rPr>
                <w:rFonts w:ascii="仿宋" w:hAnsi="仿宋" w:eastAsia="仿宋" w:cs="仿宋"/>
                <w:spacing w:val="-36"/>
              </w:rPr>
              <w:t xml:space="preserve"> </w:t>
            </w:r>
            <w:r>
              <w:rPr>
                <w:spacing w:val="-1"/>
              </w:rPr>
              <w:t>0.5-1kg/s</w:t>
            </w:r>
            <w:r>
              <w:rPr>
                <w:rFonts w:ascii="仿宋" w:hAnsi="仿宋" w:eastAsia="仿宋" w:cs="仿宋"/>
                <w:spacing w:val="-1"/>
              </w:rPr>
              <w:t>（含）</w:t>
            </w:r>
          </w:p>
        </w:tc>
        <w:tc>
          <w:tcPr>
            <w:tcW w:w="1081" w:type="dxa"/>
            <w:vAlign w:val="top"/>
          </w:tcPr>
          <w:p w14:paraId="133FC5F9">
            <w:pPr>
              <w:pStyle w:val="11"/>
              <w:spacing w:before="165" w:line="195" w:lineRule="auto"/>
              <w:ind w:left="355"/>
            </w:pPr>
            <w:r>
              <w:t>3000</w:t>
            </w:r>
          </w:p>
        </w:tc>
        <w:tc>
          <w:tcPr>
            <w:tcW w:w="1124" w:type="dxa"/>
            <w:vAlign w:val="top"/>
          </w:tcPr>
          <w:p w14:paraId="784B7C3C">
            <w:pPr>
              <w:pStyle w:val="11"/>
              <w:spacing w:before="165" w:line="195" w:lineRule="auto"/>
              <w:ind w:left="371"/>
            </w:pPr>
            <w:r>
              <w:rPr>
                <w:spacing w:val="1"/>
              </w:rPr>
              <w:t>4500</w:t>
            </w:r>
          </w:p>
        </w:tc>
      </w:tr>
      <w:tr w14:paraId="7DED1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1EEB0CFA">
            <w:pPr>
              <w:rPr>
                <w:rFonts w:ascii="Arial"/>
                <w:sz w:val="21"/>
              </w:rPr>
            </w:pPr>
          </w:p>
        </w:tc>
        <w:tc>
          <w:tcPr>
            <w:tcW w:w="1426" w:type="dxa"/>
            <w:vMerge w:val="continue"/>
            <w:tcBorders>
              <w:top w:val="nil"/>
              <w:bottom w:val="nil"/>
            </w:tcBorders>
            <w:vAlign w:val="top"/>
          </w:tcPr>
          <w:p w14:paraId="7D0A5CD5">
            <w:pPr>
              <w:rPr>
                <w:rFonts w:ascii="Arial"/>
                <w:sz w:val="21"/>
              </w:rPr>
            </w:pPr>
          </w:p>
        </w:tc>
        <w:tc>
          <w:tcPr>
            <w:tcW w:w="4422" w:type="dxa"/>
            <w:vAlign w:val="top"/>
          </w:tcPr>
          <w:p w14:paraId="24F09A03">
            <w:pPr>
              <w:pStyle w:val="11"/>
              <w:spacing w:before="118" w:line="234" w:lineRule="auto"/>
              <w:ind w:left="1408"/>
              <w:rPr>
                <w:rFonts w:ascii="仿宋" w:hAnsi="仿宋" w:eastAsia="仿宋" w:cs="仿宋"/>
              </w:rPr>
            </w:pPr>
            <w:r>
              <w:rPr>
                <w:rFonts w:ascii="仿宋" w:hAnsi="仿宋" w:eastAsia="仿宋" w:cs="仿宋"/>
                <w:spacing w:val="-2"/>
              </w:rPr>
              <w:t>喂入量</w:t>
            </w:r>
            <w:r>
              <w:rPr>
                <w:rFonts w:ascii="仿宋" w:hAnsi="仿宋" w:eastAsia="仿宋" w:cs="仿宋"/>
                <w:spacing w:val="-22"/>
              </w:rPr>
              <w:t xml:space="preserve"> </w:t>
            </w:r>
            <w:r>
              <w:rPr>
                <w:spacing w:val="-2"/>
              </w:rPr>
              <w:t>1-3kg/s</w:t>
            </w:r>
            <w:r>
              <w:rPr>
                <w:rFonts w:ascii="仿宋" w:hAnsi="仿宋" w:eastAsia="仿宋" w:cs="仿宋"/>
                <w:spacing w:val="-2"/>
              </w:rPr>
              <w:t>（含）</w:t>
            </w:r>
          </w:p>
        </w:tc>
        <w:tc>
          <w:tcPr>
            <w:tcW w:w="1081" w:type="dxa"/>
            <w:vAlign w:val="top"/>
          </w:tcPr>
          <w:p w14:paraId="098F2994">
            <w:pPr>
              <w:pStyle w:val="11"/>
              <w:spacing w:before="165" w:line="195" w:lineRule="auto"/>
              <w:ind w:left="357"/>
            </w:pPr>
            <w:r>
              <w:t>5500</w:t>
            </w:r>
          </w:p>
        </w:tc>
        <w:tc>
          <w:tcPr>
            <w:tcW w:w="1124" w:type="dxa"/>
            <w:vAlign w:val="top"/>
          </w:tcPr>
          <w:p w14:paraId="4ACC4A0E">
            <w:pPr>
              <w:pStyle w:val="11"/>
              <w:spacing w:before="165" w:line="195" w:lineRule="auto"/>
              <w:ind w:left="380"/>
            </w:pPr>
            <w:r>
              <w:rPr>
                <w:spacing w:val="-1"/>
              </w:rPr>
              <w:t>8250</w:t>
            </w:r>
          </w:p>
        </w:tc>
      </w:tr>
      <w:tr w14:paraId="0FE644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739" w:type="dxa"/>
            <w:vMerge w:val="continue"/>
            <w:tcBorders>
              <w:top w:val="nil"/>
              <w:bottom w:val="nil"/>
            </w:tcBorders>
            <w:vAlign w:val="top"/>
          </w:tcPr>
          <w:p w14:paraId="28272A84">
            <w:pPr>
              <w:rPr>
                <w:rFonts w:ascii="Arial"/>
                <w:sz w:val="21"/>
              </w:rPr>
            </w:pPr>
          </w:p>
        </w:tc>
        <w:tc>
          <w:tcPr>
            <w:tcW w:w="1426" w:type="dxa"/>
            <w:vMerge w:val="continue"/>
            <w:tcBorders>
              <w:top w:val="nil"/>
              <w:bottom w:val="nil"/>
            </w:tcBorders>
            <w:vAlign w:val="top"/>
          </w:tcPr>
          <w:p w14:paraId="5E9DE168">
            <w:pPr>
              <w:rPr>
                <w:rFonts w:ascii="Arial"/>
                <w:sz w:val="21"/>
              </w:rPr>
            </w:pPr>
          </w:p>
        </w:tc>
        <w:tc>
          <w:tcPr>
            <w:tcW w:w="4422" w:type="dxa"/>
            <w:vAlign w:val="top"/>
          </w:tcPr>
          <w:p w14:paraId="00C2B291">
            <w:pPr>
              <w:pStyle w:val="11"/>
              <w:spacing w:before="118" w:line="234" w:lineRule="auto"/>
              <w:ind w:left="1408"/>
              <w:rPr>
                <w:rFonts w:ascii="仿宋" w:hAnsi="仿宋" w:eastAsia="仿宋" w:cs="仿宋"/>
              </w:rPr>
            </w:pPr>
            <w:r>
              <w:rPr>
                <w:rFonts w:ascii="仿宋" w:hAnsi="仿宋" w:eastAsia="仿宋" w:cs="仿宋"/>
                <w:spacing w:val="-1"/>
              </w:rPr>
              <w:t>喂入量</w:t>
            </w:r>
            <w:r>
              <w:rPr>
                <w:rFonts w:ascii="仿宋" w:hAnsi="仿宋" w:eastAsia="仿宋" w:cs="仿宋"/>
                <w:spacing w:val="-35"/>
              </w:rPr>
              <w:t xml:space="preserve"> </w:t>
            </w:r>
            <w:r>
              <w:rPr>
                <w:spacing w:val="-1"/>
              </w:rPr>
              <w:t>3-4kg/s</w:t>
            </w:r>
            <w:r>
              <w:rPr>
                <w:rFonts w:ascii="仿宋" w:hAnsi="仿宋" w:eastAsia="仿宋" w:cs="仿宋"/>
                <w:spacing w:val="-1"/>
              </w:rPr>
              <w:t>（含）</w:t>
            </w:r>
          </w:p>
        </w:tc>
        <w:tc>
          <w:tcPr>
            <w:tcW w:w="1081" w:type="dxa"/>
            <w:vAlign w:val="top"/>
          </w:tcPr>
          <w:p w14:paraId="4199A973">
            <w:pPr>
              <w:pStyle w:val="11"/>
              <w:spacing w:before="165" w:line="195" w:lineRule="auto"/>
              <w:ind w:left="355"/>
            </w:pPr>
            <w:r>
              <w:t>7300</w:t>
            </w:r>
          </w:p>
        </w:tc>
        <w:tc>
          <w:tcPr>
            <w:tcW w:w="1124" w:type="dxa"/>
            <w:vAlign w:val="top"/>
          </w:tcPr>
          <w:p w14:paraId="743B761D">
            <w:pPr>
              <w:pStyle w:val="11"/>
              <w:spacing w:before="165" w:line="195" w:lineRule="auto"/>
              <w:ind w:left="343"/>
            </w:pPr>
            <w:r>
              <w:rPr>
                <w:spacing w:val="-3"/>
              </w:rPr>
              <w:t>10950</w:t>
            </w:r>
          </w:p>
        </w:tc>
      </w:tr>
      <w:tr w14:paraId="068498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69FE1A92">
            <w:pPr>
              <w:rPr>
                <w:rFonts w:ascii="Arial"/>
                <w:sz w:val="21"/>
              </w:rPr>
            </w:pPr>
          </w:p>
        </w:tc>
        <w:tc>
          <w:tcPr>
            <w:tcW w:w="1426" w:type="dxa"/>
            <w:vMerge w:val="continue"/>
            <w:tcBorders>
              <w:top w:val="nil"/>
            </w:tcBorders>
            <w:vAlign w:val="top"/>
          </w:tcPr>
          <w:p w14:paraId="57DDCD07">
            <w:pPr>
              <w:rPr>
                <w:rFonts w:ascii="Arial"/>
                <w:sz w:val="21"/>
              </w:rPr>
            </w:pPr>
          </w:p>
        </w:tc>
        <w:tc>
          <w:tcPr>
            <w:tcW w:w="4422" w:type="dxa"/>
            <w:vAlign w:val="top"/>
          </w:tcPr>
          <w:p w14:paraId="71C9CFD7">
            <w:pPr>
              <w:pStyle w:val="11"/>
              <w:spacing w:before="126" w:line="227" w:lineRule="auto"/>
              <w:ind w:left="1559"/>
              <w:rPr>
                <w:rFonts w:ascii="仿宋" w:hAnsi="仿宋" w:eastAsia="仿宋" w:cs="仿宋"/>
              </w:rPr>
            </w:pPr>
            <w:r>
              <w:rPr>
                <w:rFonts w:ascii="仿宋" w:hAnsi="仿宋" w:eastAsia="仿宋" w:cs="仿宋"/>
                <w:spacing w:val="-3"/>
              </w:rPr>
              <w:t>喂入量</w:t>
            </w:r>
            <w:r>
              <w:rPr>
                <w:rFonts w:ascii="仿宋" w:hAnsi="仿宋" w:eastAsia="仿宋" w:cs="仿宋"/>
                <w:spacing w:val="-53"/>
              </w:rPr>
              <w:t xml:space="preserve"> </w:t>
            </w:r>
            <w:r>
              <w:rPr>
                <w:spacing w:val="-3"/>
              </w:rPr>
              <w:t>4kg/s</w:t>
            </w:r>
            <w:r>
              <w:rPr>
                <w:spacing w:val="30"/>
              </w:rPr>
              <w:t xml:space="preserve"> </w:t>
            </w:r>
            <w:r>
              <w:rPr>
                <w:rFonts w:ascii="仿宋" w:hAnsi="仿宋" w:eastAsia="仿宋" w:cs="仿宋"/>
                <w:spacing w:val="-3"/>
              </w:rPr>
              <w:t>以上</w:t>
            </w:r>
          </w:p>
        </w:tc>
        <w:tc>
          <w:tcPr>
            <w:tcW w:w="1081" w:type="dxa"/>
            <w:vAlign w:val="top"/>
          </w:tcPr>
          <w:p w14:paraId="0D06C1FB">
            <w:pPr>
              <w:pStyle w:val="11"/>
              <w:spacing w:before="166" w:line="195" w:lineRule="auto"/>
              <w:ind w:left="323"/>
            </w:pPr>
            <w:r>
              <w:rPr>
                <w:spacing w:val="-3"/>
              </w:rPr>
              <w:t>11000</w:t>
            </w:r>
          </w:p>
        </w:tc>
        <w:tc>
          <w:tcPr>
            <w:tcW w:w="1124" w:type="dxa"/>
            <w:vAlign w:val="top"/>
          </w:tcPr>
          <w:p w14:paraId="77405217">
            <w:pPr>
              <w:pStyle w:val="11"/>
              <w:spacing w:before="166" w:line="195" w:lineRule="auto"/>
              <w:ind w:left="343"/>
            </w:pPr>
            <w:r>
              <w:rPr>
                <w:spacing w:val="-3"/>
              </w:rPr>
              <w:t>16500</w:t>
            </w:r>
          </w:p>
        </w:tc>
      </w:tr>
      <w:tr w14:paraId="698BB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20D40092">
            <w:pPr>
              <w:rPr>
                <w:rFonts w:ascii="Arial"/>
                <w:sz w:val="21"/>
              </w:rPr>
            </w:pPr>
          </w:p>
        </w:tc>
        <w:tc>
          <w:tcPr>
            <w:tcW w:w="1426" w:type="dxa"/>
            <w:vMerge w:val="restart"/>
            <w:tcBorders>
              <w:bottom w:val="nil"/>
            </w:tcBorders>
            <w:vAlign w:val="top"/>
          </w:tcPr>
          <w:p w14:paraId="1082AD20">
            <w:pPr>
              <w:spacing w:before="52" w:line="255" w:lineRule="exact"/>
              <w:ind w:left="222"/>
              <w:rPr>
                <w:rFonts w:ascii="仿宋" w:hAnsi="仿宋" w:eastAsia="仿宋" w:cs="仿宋"/>
                <w:sz w:val="19"/>
                <w:szCs w:val="19"/>
              </w:rPr>
            </w:pPr>
            <w:r>
              <w:rPr>
                <w:rFonts w:ascii="仿宋" w:hAnsi="仿宋" w:eastAsia="仿宋" w:cs="仿宋"/>
                <w:spacing w:val="-8"/>
                <w:position w:val="1"/>
                <w:sz w:val="19"/>
                <w:szCs w:val="19"/>
              </w:rPr>
              <w:t>自走式半喂</w:t>
            </w:r>
          </w:p>
          <w:p w14:paraId="016E70CC">
            <w:pPr>
              <w:spacing w:before="67" w:line="256" w:lineRule="exact"/>
              <w:ind w:left="179"/>
              <w:rPr>
                <w:rFonts w:ascii="仿宋" w:hAnsi="仿宋" w:eastAsia="仿宋" w:cs="仿宋"/>
                <w:sz w:val="19"/>
                <w:szCs w:val="19"/>
              </w:rPr>
            </w:pPr>
            <w:r>
              <w:rPr>
                <w:rFonts w:ascii="仿宋" w:hAnsi="仿宋" w:eastAsia="仿宋" w:cs="仿宋"/>
                <w:position w:val="1"/>
                <w:sz w:val="19"/>
                <w:szCs w:val="19"/>
              </w:rPr>
              <w:t>入稻麦联合</w:t>
            </w:r>
          </w:p>
          <w:p w14:paraId="60B94B1F">
            <w:pPr>
              <w:spacing w:before="62" w:line="256" w:lineRule="exact"/>
              <w:ind w:left="382"/>
              <w:rPr>
                <w:rFonts w:ascii="仿宋" w:hAnsi="仿宋" w:eastAsia="仿宋" w:cs="仿宋"/>
                <w:sz w:val="19"/>
                <w:szCs w:val="19"/>
              </w:rPr>
            </w:pPr>
            <w:r>
              <w:rPr>
                <w:rFonts w:ascii="仿宋" w:hAnsi="仿宋" w:eastAsia="仿宋" w:cs="仿宋"/>
                <w:spacing w:val="-4"/>
                <w:position w:val="1"/>
                <w:sz w:val="19"/>
                <w:szCs w:val="19"/>
              </w:rPr>
              <w:t>收割机</w:t>
            </w:r>
          </w:p>
        </w:tc>
        <w:tc>
          <w:tcPr>
            <w:tcW w:w="4422" w:type="dxa"/>
            <w:vAlign w:val="top"/>
          </w:tcPr>
          <w:p w14:paraId="56ECC1CB">
            <w:pPr>
              <w:pStyle w:val="11"/>
              <w:spacing w:before="119" w:line="255" w:lineRule="exact"/>
              <w:ind w:left="1414"/>
              <w:rPr>
                <w:rFonts w:ascii="仿宋" w:hAnsi="仿宋" w:eastAsia="仿宋" w:cs="仿宋"/>
              </w:rPr>
            </w:pPr>
            <w:r>
              <w:rPr>
                <w:position w:val="1"/>
              </w:rPr>
              <w:t xml:space="preserve">3 </w:t>
            </w:r>
            <w:r>
              <w:rPr>
                <w:rFonts w:ascii="仿宋" w:hAnsi="仿宋" w:eastAsia="仿宋" w:cs="仿宋"/>
                <w:position w:val="1"/>
              </w:rPr>
              <w:t>行，</w:t>
            </w:r>
            <w:r>
              <w:rPr>
                <w:position w:val="1"/>
              </w:rPr>
              <w:t>35</w:t>
            </w:r>
            <w:r>
              <w:rPr>
                <w:spacing w:val="15"/>
                <w:w w:val="101"/>
                <w:position w:val="1"/>
              </w:rPr>
              <w:t xml:space="preserve"> </w:t>
            </w:r>
            <w:r>
              <w:rPr>
                <w:rFonts w:ascii="仿宋" w:hAnsi="仿宋" w:eastAsia="仿宋" w:cs="仿宋"/>
                <w:position w:val="1"/>
              </w:rPr>
              <w:t>马力及以上</w:t>
            </w:r>
          </w:p>
        </w:tc>
        <w:tc>
          <w:tcPr>
            <w:tcW w:w="1081" w:type="dxa"/>
            <w:vAlign w:val="top"/>
          </w:tcPr>
          <w:p w14:paraId="3EF99B90">
            <w:pPr>
              <w:pStyle w:val="11"/>
              <w:spacing w:before="167" w:line="195" w:lineRule="auto"/>
              <w:ind w:left="355"/>
            </w:pPr>
            <w:r>
              <w:t>7200</w:t>
            </w:r>
          </w:p>
        </w:tc>
        <w:tc>
          <w:tcPr>
            <w:tcW w:w="1124" w:type="dxa"/>
            <w:vAlign w:val="top"/>
          </w:tcPr>
          <w:p w14:paraId="4E77EEFA">
            <w:pPr>
              <w:pStyle w:val="11"/>
              <w:spacing w:before="167" w:line="195" w:lineRule="auto"/>
              <w:ind w:left="343"/>
            </w:pPr>
            <w:r>
              <w:rPr>
                <w:spacing w:val="-3"/>
              </w:rPr>
              <w:t>10800</w:t>
            </w:r>
          </w:p>
        </w:tc>
      </w:tr>
      <w:tr w14:paraId="2C5AC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1" w:hRule="atLeast"/>
        </w:trPr>
        <w:tc>
          <w:tcPr>
            <w:tcW w:w="739" w:type="dxa"/>
            <w:vMerge w:val="continue"/>
            <w:tcBorders>
              <w:top w:val="nil"/>
              <w:bottom w:val="nil"/>
            </w:tcBorders>
            <w:vAlign w:val="top"/>
          </w:tcPr>
          <w:p w14:paraId="69FFFDC9">
            <w:pPr>
              <w:rPr>
                <w:rFonts w:ascii="Arial"/>
                <w:sz w:val="21"/>
              </w:rPr>
            </w:pPr>
          </w:p>
        </w:tc>
        <w:tc>
          <w:tcPr>
            <w:tcW w:w="1426" w:type="dxa"/>
            <w:vMerge w:val="continue"/>
            <w:tcBorders>
              <w:top w:val="nil"/>
            </w:tcBorders>
            <w:vAlign w:val="top"/>
          </w:tcPr>
          <w:p w14:paraId="168D2632">
            <w:pPr>
              <w:rPr>
                <w:rFonts w:ascii="Arial"/>
                <w:sz w:val="21"/>
              </w:rPr>
            </w:pPr>
          </w:p>
        </w:tc>
        <w:tc>
          <w:tcPr>
            <w:tcW w:w="4422" w:type="dxa"/>
            <w:vAlign w:val="top"/>
          </w:tcPr>
          <w:p w14:paraId="55CFB7C3">
            <w:pPr>
              <w:pStyle w:val="11"/>
              <w:spacing w:before="141" w:line="255" w:lineRule="exact"/>
              <w:ind w:left="1121"/>
              <w:rPr>
                <w:rFonts w:ascii="仿宋" w:hAnsi="仿宋" w:eastAsia="仿宋" w:cs="仿宋"/>
              </w:rPr>
            </w:pPr>
            <w:r>
              <w:rPr>
                <w:spacing w:val="1"/>
              </w:rPr>
              <w:t xml:space="preserve">4 </w:t>
            </w:r>
            <w:r>
              <w:rPr>
                <w:rFonts w:ascii="仿宋" w:hAnsi="仿宋" w:eastAsia="仿宋" w:cs="仿宋"/>
                <w:spacing w:val="1"/>
                <w:position w:val="1"/>
              </w:rPr>
              <w:t>行及以上，</w:t>
            </w:r>
            <w:r>
              <w:rPr>
                <w:spacing w:val="1"/>
                <w:position w:val="1"/>
              </w:rPr>
              <w:t xml:space="preserve">35 </w:t>
            </w:r>
            <w:r>
              <w:rPr>
                <w:rFonts w:ascii="仿宋" w:hAnsi="仿宋" w:eastAsia="仿宋" w:cs="仿宋"/>
                <w:spacing w:val="1"/>
                <w:position w:val="1"/>
              </w:rPr>
              <w:t>马力及以上</w:t>
            </w:r>
          </w:p>
        </w:tc>
        <w:tc>
          <w:tcPr>
            <w:tcW w:w="1081" w:type="dxa"/>
            <w:vAlign w:val="top"/>
          </w:tcPr>
          <w:p w14:paraId="1F1B780D">
            <w:pPr>
              <w:pStyle w:val="11"/>
              <w:spacing w:before="188" w:line="195" w:lineRule="auto"/>
              <w:ind w:left="323"/>
            </w:pPr>
            <w:r>
              <w:rPr>
                <w:spacing w:val="-3"/>
              </w:rPr>
              <w:t>17500</w:t>
            </w:r>
          </w:p>
        </w:tc>
        <w:tc>
          <w:tcPr>
            <w:tcW w:w="1124" w:type="dxa"/>
            <w:vAlign w:val="top"/>
          </w:tcPr>
          <w:p w14:paraId="6BB7738B">
            <w:pPr>
              <w:pStyle w:val="11"/>
              <w:spacing w:before="188" w:line="195" w:lineRule="auto"/>
              <w:ind w:left="324"/>
            </w:pPr>
            <w:r>
              <w:rPr>
                <w:spacing w:val="1"/>
              </w:rPr>
              <w:t>26250</w:t>
            </w:r>
          </w:p>
        </w:tc>
      </w:tr>
      <w:tr w14:paraId="63BDBB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64CA3BDD">
            <w:pPr>
              <w:rPr>
                <w:rFonts w:ascii="Arial"/>
                <w:sz w:val="21"/>
              </w:rPr>
            </w:pPr>
          </w:p>
        </w:tc>
        <w:tc>
          <w:tcPr>
            <w:tcW w:w="1426" w:type="dxa"/>
            <w:vMerge w:val="restart"/>
            <w:tcBorders>
              <w:bottom w:val="nil"/>
            </w:tcBorders>
            <w:vAlign w:val="top"/>
          </w:tcPr>
          <w:p w14:paraId="6996C79D">
            <w:pPr>
              <w:spacing w:line="339" w:lineRule="auto"/>
              <w:rPr>
                <w:rFonts w:ascii="Arial"/>
                <w:sz w:val="21"/>
              </w:rPr>
            </w:pPr>
          </w:p>
          <w:p w14:paraId="2F843532">
            <w:pPr>
              <w:spacing w:before="61" w:line="331" w:lineRule="auto"/>
              <w:ind w:left="176" w:right="163" w:firstLine="45"/>
              <w:rPr>
                <w:rFonts w:ascii="仿宋" w:hAnsi="仿宋" w:eastAsia="仿宋" w:cs="仿宋"/>
                <w:sz w:val="19"/>
                <w:szCs w:val="19"/>
              </w:rPr>
            </w:pPr>
            <w:r>
              <w:rPr>
                <w:rFonts w:ascii="仿宋" w:hAnsi="仿宋" w:eastAsia="仿宋" w:cs="仿宋"/>
                <w:spacing w:val="-8"/>
                <w:sz w:val="19"/>
                <w:szCs w:val="19"/>
              </w:rPr>
              <w:t>自走式玉米</w:t>
            </w:r>
            <w:r>
              <w:rPr>
                <w:rFonts w:ascii="仿宋" w:hAnsi="仿宋" w:eastAsia="仿宋" w:cs="仿宋"/>
                <w:sz w:val="19"/>
                <w:szCs w:val="19"/>
              </w:rPr>
              <w:t xml:space="preserve"> </w:t>
            </w:r>
            <w:r>
              <w:rPr>
                <w:rFonts w:ascii="仿宋" w:hAnsi="仿宋" w:eastAsia="仿宋" w:cs="仿宋"/>
                <w:spacing w:val="1"/>
                <w:sz w:val="19"/>
                <w:szCs w:val="19"/>
              </w:rPr>
              <w:t>联合收割机</w:t>
            </w:r>
          </w:p>
        </w:tc>
        <w:tc>
          <w:tcPr>
            <w:tcW w:w="4422" w:type="dxa"/>
            <w:vAlign w:val="top"/>
          </w:tcPr>
          <w:p w14:paraId="58B6EE22">
            <w:pPr>
              <w:pStyle w:val="11"/>
              <w:spacing w:before="120" w:line="254" w:lineRule="exact"/>
              <w:ind w:left="2106"/>
              <w:rPr>
                <w:rFonts w:ascii="仿宋" w:hAnsi="仿宋" w:eastAsia="仿宋" w:cs="仿宋"/>
              </w:rPr>
            </w:pPr>
            <w:r>
              <w:rPr>
                <w:position w:val="1"/>
              </w:rPr>
              <w:t>2</w:t>
            </w:r>
            <w:r>
              <w:rPr>
                <w:spacing w:val="8"/>
                <w:position w:val="1"/>
              </w:rPr>
              <w:t xml:space="preserve"> </w:t>
            </w:r>
            <w:r>
              <w:rPr>
                <w:rFonts w:ascii="仿宋" w:hAnsi="仿宋" w:eastAsia="仿宋" w:cs="仿宋"/>
                <w:position w:val="1"/>
              </w:rPr>
              <w:t>行</w:t>
            </w:r>
          </w:p>
        </w:tc>
        <w:tc>
          <w:tcPr>
            <w:tcW w:w="1081" w:type="dxa"/>
            <w:vAlign w:val="top"/>
          </w:tcPr>
          <w:p w14:paraId="570F0B82">
            <w:pPr>
              <w:pStyle w:val="11"/>
              <w:spacing w:before="167" w:line="195" w:lineRule="auto"/>
              <w:ind w:left="355"/>
            </w:pPr>
            <w:r>
              <w:t>7200</w:t>
            </w:r>
          </w:p>
        </w:tc>
        <w:tc>
          <w:tcPr>
            <w:tcW w:w="1124" w:type="dxa"/>
            <w:vAlign w:val="top"/>
          </w:tcPr>
          <w:p w14:paraId="14469D6C">
            <w:pPr>
              <w:pStyle w:val="11"/>
              <w:spacing w:before="167" w:line="195" w:lineRule="auto"/>
              <w:ind w:left="343"/>
            </w:pPr>
            <w:r>
              <w:rPr>
                <w:spacing w:val="-3"/>
              </w:rPr>
              <w:t>10800</w:t>
            </w:r>
          </w:p>
        </w:tc>
      </w:tr>
      <w:tr w14:paraId="05F070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39B0C7C9">
            <w:pPr>
              <w:rPr>
                <w:rFonts w:ascii="Arial"/>
                <w:sz w:val="21"/>
              </w:rPr>
            </w:pPr>
          </w:p>
        </w:tc>
        <w:tc>
          <w:tcPr>
            <w:tcW w:w="1426" w:type="dxa"/>
            <w:vMerge w:val="continue"/>
            <w:tcBorders>
              <w:top w:val="nil"/>
              <w:bottom w:val="nil"/>
            </w:tcBorders>
            <w:vAlign w:val="top"/>
          </w:tcPr>
          <w:p w14:paraId="2B3723C9">
            <w:pPr>
              <w:rPr>
                <w:rFonts w:ascii="Arial"/>
                <w:sz w:val="21"/>
              </w:rPr>
            </w:pPr>
          </w:p>
        </w:tc>
        <w:tc>
          <w:tcPr>
            <w:tcW w:w="4422" w:type="dxa"/>
            <w:vAlign w:val="top"/>
          </w:tcPr>
          <w:p w14:paraId="4832297A">
            <w:pPr>
              <w:pStyle w:val="11"/>
              <w:spacing w:before="120" w:line="255" w:lineRule="exact"/>
              <w:ind w:left="2110"/>
              <w:rPr>
                <w:rFonts w:ascii="仿宋" w:hAnsi="仿宋" w:eastAsia="仿宋" w:cs="仿宋"/>
              </w:rPr>
            </w:pPr>
            <w:r>
              <w:rPr>
                <w:spacing w:val="-2"/>
                <w:position w:val="1"/>
              </w:rPr>
              <w:t>3</w:t>
            </w:r>
            <w:r>
              <w:rPr>
                <w:spacing w:val="8"/>
                <w:position w:val="1"/>
              </w:rPr>
              <w:t xml:space="preserve"> </w:t>
            </w:r>
            <w:r>
              <w:rPr>
                <w:rFonts w:ascii="仿宋" w:hAnsi="仿宋" w:eastAsia="仿宋" w:cs="仿宋"/>
                <w:spacing w:val="-2"/>
                <w:position w:val="1"/>
              </w:rPr>
              <w:t>行</w:t>
            </w:r>
          </w:p>
        </w:tc>
        <w:tc>
          <w:tcPr>
            <w:tcW w:w="1081" w:type="dxa"/>
            <w:vAlign w:val="top"/>
          </w:tcPr>
          <w:p w14:paraId="6FD389FA">
            <w:pPr>
              <w:pStyle w:val="11"/>
              <w:spacing w:before="167" w:line="195" w:lineRule="auto"/>
              <w:ind w:left="323"/>
            </w:pPr>
            <w:r>
              <w:rPr>
                <w:spacing w:val="-3"/>
              </w:rPr>
              <w:t>12500</w:t>
            </w:r>
          </w:p>
        </w:tc>
        <w:tc>
          <w:tcPr>
            <w:tcW w:w="1124" w:type="dxa"/>
            <w:vAlign w:val="top"/>
          </w:tcPr>
          <w:p w14:paraId="46D6F34A">
            <w:pPr>
              <w:pStyle w:val="11"/>
              <w:spacing w:before="167" w:line="195" w:lineRule="auto"/>
              <w:ind w:left="343"/>
            </w:pPr>
            <w:r>
              <w:rPr>
                <w:spacing w:val="-3"/>
              </w:rPr>
              <w:t>18750</w:t>
            </w:r>
          </w:p>
        </w:tc>
      </w:tr>
      <w:tr w14:paraId="7D6A0E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3E24A86C">
            <w:pPr>
              <w:rPr>
                <w:rFonts w:ascii="Arial"/>
                <w:sz w:val="21"/>
              </w:rPr>
            </w:pPr>
          </w:p>
        </w:tc>
        <w:tc>
          <w:tcPr>
            <w:tcW w:w="1426" w:type="dxa"/>
            <w:vMerge w:val="continue"/>
            <w:tcBorders>
              <w:top w:val="nil"/>
            </w:tcBorders>
            <w:vAlign w:val="top"/>
          </w:tcPr>
          <w:p w14:paraId="770B950B">
            <w:pPr>
              <w:rPr>
                <w:rFonts w:ascii="Arial"/>
                <w:sz w:val="21"/>
              </w:rPr>
            </w:pPr>
          </w:p>
        </w:tc>
        <w:tc>
          <w:tcPr>
            <w:tcW w:w="4422" w:type="dxa"/>
            <w:vAlign w:val="top"/>
          </w:tcPr>
          <w:p w14:paraId="4B7F42EC">
            <w:pPr>
              <w:pStyle w:val="11"/>
              <w:spacing w:before="120" w:line="255" w:lineRule="exact"/>
              <w:ind w:left="1817"/>
              <w:rPr>
                <w:rFonts w:ascii="仿宋" w:hAnsi="仿宋" w:eastAsia="仿宋" w:cs="仿宋"/>
              </w:rPr>
            </w:pPr>
            <w:r>
              <w:t>4</w:t>
            </w:r>
            <w:r>
              <w:rPr>
                <w:spacing w:val="12"/>
              </w:rPr>
              <w:t xml:space="preserve"> </w:t>
            </w:r>
            <w:r>
              <w:rPr>
                <w:rFonts w:ascii="仿宋" w:hAnsi="仿宋" w:eastAsia="仿宋" w:cs="仿宋"/>
                <w:position w:val="1"/>
              </w:rPr>
              <w:t>行及以上</w:t>
            </w:r>
          </w:p>
        </w:tc>
        <w:tc>
          <w:tcPr>
            <w:tcW w:w="1081" w:type="dxa"/>
            <w:vAlign w:val="top"/>
          </w:tcPr>
          <w:p w14:paraId="77875A0B">
            <w:pPr>
              <w:pStyle w:val="11"/>
              <w:spacing w:before="168" w:line="195" w:lineRule="auto"/>
              <w:ind w:left="303"/>
            </w:pPr>
            <w:r>
              <w:rPr>
                <w:spacing w:val="1"/>
              </w:rPr>
              <w:t>20000</w:t>
            </w:r>
          </w:p>
        </w:tc>
        <w:tc>
          <w:tcPr>
            <w:tcW w:w="1124" w:type="dxa"/>
            <w:vAlign w:val="top"/>
          </w:tcPr>
          <w:p w14:paraId="2E18BC28">
            <w:pPr>
              <w:pStyle w:val="11"/>
              <w:spacing w:before="168" w:line="195" w:lineRule="auto"/>
              <w:ind w:left="328"/>
            </w:pPr>
            <w:r>
              <w:t>30000</w:t>
            </w:r>
          </w:p>
        </w:tc>
      </w:tr>
      <w:tr w14:paraId="1834D8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74F93B4D">
            <w:pPr>
              <w:rPr>
                <w:rFonts w:ascii="Arial"/>
                <w:sz w:val="21"/>
              </w:rPr>
            </w:pPr>
          </w:p>
        </w:tc>
        <w:tc>
          <w:tcPr>
            <w:tcW w:w="1426" w:type="dxa"/>
            <w:vMerge w:val="restart"/>
            <w:tcBorders>
              <w:bottom w:val="nil"/>
            </w:tcBorders>
            <w:vAlign w:val="top"/>
          </w:tcPr>
          <w:p w14:paraId="749B6A37">
            <w:pPr>
              <w:spacing w:before="170" w:line="331" w:lineRule="auto"/>
              <w:ind w:left="176" w:right="163" w:firstLine="10"/>
              <w:rPr>
                <w:rFonts w:ascii="仿宋" w:hAnsi="仿宋" w:eastAsia="仿宋" w:cs="仿宋"/>
                <w:sz w:val="19"/>
                <w:szCs w:val="19"/>
              </w:rPr>
            </w:pPr>
            <w:r>
              <w:rPr>
                <w:rFonts w:ascii="仿宋" w:hAnsi="仿宋" w:eastAsia="仿宋" w:cs="仿宋"/>
                <w:spacing w:val="-1"/>
                <w:sz w:val="19"/>
                <w:szCs w:val="19"/>
              </w:rPr>
              <w:t>悬挂式玉米</w:t>
            </w:r>
            <w:r>
              <w:rPr>
                <w:rFonts w:ascii="仿宋" w:hAnsi="仿宋" w:eastAsia="仿宋" w:cs="仿宋"/>
                <w:sz w:val="19"/>
                <w:szCs w:val="19"/>
              </w:rPr>
              <w:t xml:space="preserve"> </w:t>
            </w:r>
            <w:r>
              <w:rPr>
                <w:rFonts w:ascii="仿宋" w:hAnsi="仿宋" w:eastAsia="仿宋" w:cs="仿宋"/>
                <w:spacing w:val="1"/>
                <w:sz w:val="19"/>
                <w:szCs w:val="19"/>
              </w:rPr>
              <w:t>联合收割机</w:t>
            </w:r>
          </w:p>
        </w:tc>
        <w:tc>
          <w:tcPr>
            <w:tcW w:w="4422" w:type="dxa"/>
            <w:vAlign w:val="top"/>
          </w:tcPr>
          <w:p w14:paraId="3C6D2943">
            <w:pPr>
              <w:pStyle w:val="11"/>
              <w:spacing w:before="121" w:line="254" w:lineRule="exact"/>
              <w:ind w:left="2046"/>
              <w:rPr>
                <w:rFonts w:ascii="仿宋" w:hAnsi="仿宋" w:eastAsia="仿宋" w:cs="仿宋"/>
              </w:rPr>
            </w:pPr>
            <w:r>
              <w:rPr>
                <w:spacing w:val="-5"/>
                <w:position w:val="1"/>
              </w:rPr>
              <w:t>1-2</w:t>
            </w:r>
            <w:r>
              <w:rPr>
                <w:spacing w:val="9"/>
                <w:position w:val="1"/>
              </w:rPr>
              <w:t xml:space="preserve"> </w:t>
            </w:r>
            <w:r>
              <w:rPr>
                <w:rFonts w:ascii="仿宋" w:hAnsi="仿宋" w:eastAsia="仿宋" w:cs="仿宋"/>
                <w:spacing w:val="-5"/>
                <w:position w:val="1"/>
              </w:rPr>
              <w:t>行</w:t>
            </w:r>
          </w:p>
        </w:tc>
        <w:tc>
          <w:tcPr>
            <w:tcW w:w="1081" w:type="dxa"/>
            <w:vAlign w:val="top"/>
          </w:tcPr>
          <w:p w14:paraId="6BD0130E">
            <w:pPr>
              <w:pStyle w:val="11"/>
              <w:spacing w:before="168" w:line="195" w:lineRule="auto"/>
              <w:ind w:left="355"/>
            </w:pPr>
            <w:r>
              <w:t>3000</w:t>
            </w:r>
          </w:p>
        </w:tc>
        <w:tc>
          <w:tcPr>
            <w:tcW w:w="1124" w:type="dxa"/>
            <w:vAlign w:val="top"/>
          </w:tcPr>
          <w:p w14:paraId="697F3222">
            <w:pPr>
              <w:pStyle w:val="11"/>
              <w:spacing w:before="168" w:line="195" w:lineRule="auto"/>
              <w:ind w:left="371"/>
            </w:pPr>
            <w:r>
              <w:rPr>
                <w:spacing w:val="1"/>
              </w:rPr>
              <w:t>4500</w:t>
            </w:r>
          </w:p>
        </w:tc>
      </w:tr>
      <w:tr w14:paraId="64080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739" w:type="dxa"/>
            <w:vMerge w:val="continue"/>
            <w:tcBorders>
              <w:top w:val="nil"/>
            </w:tcBorders>
            <w:vAlign w:val="top"/>
          </w:tcPr>
          <w:p w14:paraId="0B67E77E">
            <w:pPr>
              <w:rPr>
                <w:rFonts w:ascii="Arial"/>
                <w:sz w:val="21"/>
              </w:rPr>
            </w:pPr>
          </w:p>
        </w:tc>
        <w:tc>
          <w:tcPr>
            <w:tcW w:w="1426" w:type="dxa"/>
            <w:vMerge w:val="continue"/>
            <w:tcBorders>
              <w:top w:val="nil"/>
            </w:tcBorders>
            <w:vAlign w:val="top"/>
          </w:tcPr>
          <w:p w14:paraId="0DD35425">
            <w:pPr>
              <w:rPr>
                <w:rFonts w:ascii="Arial"/>
                <w:sz w:val="21"/>
              </w:rPr>
            </w:pPr>
          </w:p>
        </w:tc>
        <w:tc>
          <w:tcPr>
            <w:tcW w:w="4422" w:type="dxa"/>
            <w:vAlign w:val="top"/>
          </w:tcPr>
          <w:p w14:paraId="6F114562">
            <w:pPr>
              <w:pStyle w:val="11"/>
              <w:spacing w:before="121" w:line="254" w:lineRule="exact"/>
              <w:ind w:left="2031"/>
              <w:rPr>
                <w:rFonts w:ascii="仿宋" w:hAnsi="仿宋" w:eastAsia="仿宋" w:cs="仿宋"/>
              </w:rPr>
            </w:pPr>
            <w:r>
              <w:rPr>
                <w:spacing w:val="-1"/>
                <w:position w:val="1"/>
              </w:rPr>
              <w:t>3-4</w:t>
            </w:r>
            <w:r>
              <w:rPr>
                <w:spacing w:val="8"/>
                <w:position w:val="1"/>
              </w:rPr>
              <w:t xml:space="preserve"> </w:t>
            </w:r>
            <w:r>
              <w:rPr>
                <w:rFonts w:ascii="仿宋" w:hAnsi="仿宋" w:eastAsia="仿宋" w:cs="仿宋"/>
                <w:spacing w:val="-1"/>
                <w:position w:val="1"/>
              </w:rPr>
              <w:t>行</w:t>
            </w:r>
          </w:p>
        </w:tc>
        <w:tc>
          <w:tcPr>
            <w:tcW w:w="1081" w:type="dxa"/>
            <w:vAlign w:val="top"/>
          </w:tcPr>
          <w:p w14:paraId="4967494D">
            <w:pPr>
              <w:pStyle w:val="11"/>
              <w:spacing w:before="168" w:line="195" w:lineRule="auto"/>
              <w:ind w:left="357"/>
            </w:pPr>
            <w:r>
              <w:t>5500</w:t>
            </w:r>
          </w:p>
        </w:tc>
        <w:tc>
          <w:tcPr>
            <w:tcW w:w="1124" w:type="dxa"/>
            <w:vAlign w:val="top"/>
          </w:tcPr>
          <w:p w14:paraId="5D3DF49D">
            <w:pPr>
              <w:pStyle w:val="11"/>
              <w:spacing w:before="168" w:line="195" w:lineRule="auto"/>
              <w:ind w:left="380"/>
            </w:pPr>
            <w:r>
              <w:rPr>
                <w:spacing w:val="-1"/>
              </w:rPr>
              <w:t>8250</w:t>
            </w:r>
          </w:p>
        </w:tc>
      </w:tr>
    </w:tbl>
    <w:p w14:paraId="6142E548">
      <w:pPr>
        <w:rPr>
          <w:rFonts w:ascii="Arial"/>
          <w:sz w:val="21"/>
        </w:rPr>
      </w:pPr>
    </w:p>
    <w:tbl>
      <w:tblPr>
        <w:tblStyle w:val="10"/>
        <w:tblW w:w="905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39"/>
        <w:gridCol w:w="1363"/>
        <w:gridCol w:w="3953"/>
        <w:gridCol w:w="1469"/>
        <w:gridCol w:w="1531"/>
      </w:tblGrid>
      <w:tr w14:paraId="4CD072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62" w:hRule="atLeast"/>
        </w:trPr>
        <w:tc>
          <w:tcPr>
            <w:tcW w:w="739" w:type="dxa"/>
            <w:vAlign w:val="top"/>
          </w:tcPr>
          <w:p w14:paraId="4014F02C">
            <w:pPr>
              <w:spacing w:line="309" w:lineRule="auto"/>
              <w:rPr>
                <w:rFonts w:ascii="Arial"/>
                <w:sz w:val="21"/>
              </w:rPr>
            </w:pPr>
          </w:p>
          <w:p w14:paraId="29AE99D5">
            <w:pPr>
              <w:spacing w:before="62" w:line="256" w:lineRule="exact"/>
              <w:ind w:left="187"/>
              <w:rPr>
                <w:rFonts w:ascii="仿宋" w:hAnsi="仿宋" w:eastAsia="仿宋" w:cs="仿宋"/>
                <w:sz w:val="19"/>
                <w:szCs w:val="19"/>
              </w:rPr>
            </w:pPr>
            <w:r>
              <w:rPr>
                <w:rFonts w:ascii="仿宋" w:hAnsi="仿宋" w:eastAsia="仿宋" w:cs="仿宋"/>
                <w:b/>
                <w:bCs/>
                <w:spacing w:val="-4"/>
                <w:position w:val="1"/>
                <w:sz w:val="19"/>
                <w:szCs w:val="19"/>
              </w:rPr>
              <w:t>序号</w:t>
            </w:r>
          </w:p>
        </w:tc>
        <w:tc>
          <w:tcPr>
            <w:tcW w:w="1363" w:type="dxa"/>
            <w:vAlign w:val="top"/>
          </w:tcPr>
          <w:p w14:paraId="1AA0D14A">
            <w:pPr>
              <w:spacing w:line="309" w:lineRule="auto"/>
              <w:rPr>
                <w:rFonts w:ascii="Arial"/>
                <w:sz w:val="21"/>
              </w:rPr>
            </w:pPr>
          </w:p>
          <w:p w14:paraId="2861C121">
            <w:pPr>
              <w:spacing w:before="62" w:line="256" w:lineRule="exact"/>
              <w:ind w:left="465"/>
              <w:rPr>
                <w:rFonts w:ascii="仿宋" w:hAnsi="仿宋" w:eastAsia="仿宋" w:cs="仿宋"/>
                <w:sz w:val="19"/>
                <w:szCs w:val="19"/>
              </w:rPr>
            </w:pPr>
            <w:r>
              <w:rPr>
                <w:rFonts w:ascii="仿宋" w:hAnsi="仿宋" w:eastAsia="仿宋" w:cs="仿宋"/>
                <w:b/>
                <w:bCs/>
                <w:spacing w:val="-2"/>
                <w:position w:val="1"/>
                <w:sz w:val="19"/>
                <w:szCs w:val="19"/>
              </w:rPr>
              <w:t>机型</w:t>
            </w:r>
          </w:p>
        </w:tc>
        <w:tc>
          <w:tcPr>
            <w:tcW w:w="3953" w:type="dxa"/>
            <w:vAlign w:val="top"/>
          </w:tcPr>
          <w:p w14:paraId="412E97CC">
            <w:pPr>
              <w:spacing w:line="309" w:lineRule="auto"/>
              <w:rPr>
                <w:rFonts w:ascii="Arial"/>
                <w:sz w:val="21"/>
              </w:rPr>
            </w:pPr>
          </w:p>
          <w:p w14:paraId="641484D0">
            <w:pPr>
              <w:spacing w:before="62" w:line="256" w:lineRule="exact"/>
              <w:ind w:left="1896"/>
              <w:rPr>
                <w:rFonts w:ascii="仿宋" w:hAnsi="仿宋" w:eastAsia="仿宋" w:cs="仿宋"/>
                <w:sz w:val="19"/>
                <w:szCs w:val="19"/>
              </w:rPr>
            </w:pPr>
            <w:r>
              <w:rPr>
                <w:rFonts w:ascii="仿宋" w:hAnsi="仿宋" w:eastAsia="仿宋" w:cs="仿宋"/>
                <w:b/>
                <w:bCs/>
                <w:spacing w:val="-1"/>
                <w:position w:val="1"/>
                <w:sz w:val="19"/>
                <w:szCs w:val="19"/>
              </w:rPr>
              <w:t>机具类别</w:t>
            </w:r>
          </w:p>
        </w:tc>
        <w:tc>
          <w:tcPr>
            <w:tcW w:w="1469" w:type="dxa"/>
            <w:vAlign w:val="top"/>
          </w:tcPr>
          <w:p w14:paraId="1BB1BB49">
            <w:pPr>
              <w:spacing w:before="54" w:line="293" w:lineRule="auto"/>
              <w:ind w:left="169" w:right="138" w:hanging="1"/>
              <w:jc w:val="both"/>
              <w:rPr>
                <w:rFonts w:ascii="仿宋" w:hAnsi="仿宋" w:eastAsia="仿宋" w:cs="仿宋"/>
                <w:sz w:val="19"/>
                <w:szCs w:val="19"/>
              </w:rPr>
            </w:pPr>
            <w:r>
              <w:rPr>
                <w:rFonts w:ascii="仿宋" w:hAnsi="仿宋" w:eastAsia="仿宋" w:cs="仿宋"/>
                <w:b/>
                <w:bCs/>
                <w:spacing w:val="-1"/>
                <w:sz w:val="19"/>
                <w:szCs w:val="19"/>
              </w:rPr>
              <w:t>基本政策</w:t>
            </w:r>
            <w:r>
              <w:rPr>
                <w:rFonts w:ascii="仿宋" w:hAnsi="仿宋" w:eastAsia="仿宋" w:cs="仿宋"/>
                <w:b/>
                <w:bCs/>
                <w:spacing w:val="-2"/>
                <w:sz w:val="19"/>
                <w:szCs w:val="19"/>
              </w:rPr>
              <w:t>报废补贴</w:t>
            </w:r>
            <w:r>
              <w:rPr>
                <w:rFonts w:ascii="仿宋" w:hAnsi="仿宋" w:eastAsia="仿宋" w:cs="仿宋"/>
                <w:b/>
                <w:bCs/>
                <w:spacing w:val="-1"/>
                <w:sz w:val="19"/>
                <w:szCs w:val="19"/>
              </w:rPr>
              <w:t>额（元）</w:t>
            </w:r>
          </w:p>
        </w:tc>
        <w:tc>
          <w:tcPr>
            <w:tcW w:w="1531" w:type="dxa"/>
            <w:vAlign w:val="top"/>
          </w:tcPr>
          <w:p w14:paraId="4BB9BFBF">
            <w:pPr>
              <w:spacing w:before="54" w:line="293" w:lineRule="auto"/>
              <w:ind w:left="187" w:right="163"/>
              <w:jc w:val="both"/>
              <w:rPr>
                <w:rFonts w:ascii="仿宋" w:hAnsi="仿宋" w:eastAsia="仿宋" w:cs="仿宋"/>
                <w:sz w:val="19"/>
                <w:szCs w:val="19"/>
              </w:rPr>
            </w:pPr>
            <w:r>
              <w:rPr>
                <w:rFonts w:ascii="仿宋" w:hAnsi="仿宋" w:eastAsia="仿宋" w:cs="仿宋"/>
                <w:b/>
                <w:bCs/>
                <w:spacing w:val="-1"/>
                <w:sz w:val="19"/>
                <w:szCs w:val="19"/>
              </w:rPr>
              <w:t>加力政策</w:t>
            </w:r>
            <w:r>
              <w:rPr>
                <w:rFonts w:ascii="仿宋" w:hAnsi="仿宋" w:eastAsia="仿宋" w:cs="仿宋"/>
                <w:b/>
                <w:bCs/>
                <w:spacing w:val="-2"/>
                <w:sz w:val="19"/>
                <w:szCs w:val="19"/>
              </w:rPr>
              <w:t>报废补贴</w:t>
            </w:r>
            <w:r>
              <w:rPr>
                <w:rFonts w:ascii="仿宋" w:hAnsi="仿宋" w:eastAsia="仿宋" w:cs="仿宋"/>
                <w:b/>
                <w:bCs/>
                <w:spacing w:val="-1"/>
                <w:sz w:val="19"/>
                <w:szCs w:val="19"/>
              </w:rPr>
              <w:t>额（元）</w:t>
            </w:r>
          </w:p>
        </w:tc>
      </w:tr>
      <w:tr w14:paraId="55E211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restart"/>
            <w:tcBorders>
              <w:bottom w:val="nil"/>
            </w:tcBorders>
            <w:vAlign w:val="top"/>
          </w:tcPr>
          <w:p w14:paraId="2F5803C9">
            <w:pPr>
              <w:rPr>
                <w:rFonts w:ascii="Arial"/>
                <w:sz w:val="21"/>
              </w:rPr>
            </w:pPr>
          </w:p>
          <w:p w14:paraId="2B44AEA0">
            <w:pPr>
              <w:rPr>
                <w:rFonts w:ascii="Arial"/>
                <w:sz w:val="21"/>
              </w:rPr>
            </w:pPr>
          </w:p>
          <w:p w14:paraId="1057E0DE">
            <w:pPr>
              <w:rPr>
                <w:rFonts w:ascii="Arial"/>
                <w:sz w:val="21"/>
              </w:rPr>
            </w:pPr>
          </w:p>
          <w:p w14:paraId="4C223C0B">
            <w:pPr>
              <w:rPr>
                <w:rFonts w:ascii="Arial"/>
                <w:sz w:val="21"/>
              </w:rPr>
            </w:pPr>
          </w:p>
          <w:p w14:paraId="694CB90F">
            <w:pPr>
              <w:spacing w:line="241" w:lineRule="auto"/>
              <w:rPr>
                <w:rFonts w:ascii="Arial"/>
                <w:sz w:val="21"/>
              </w:rPr>
            </w:pPr>
          </w:p>
          <w:p w14:paraId="06E9F7ED">
            <w:pPr>
              <w:spacing w:line="241" w:lineRule="auto"/>
              <w:rPr>
                <w:rFonts w:ascii="Arial"/>
                <w:sz w:val="21"/>
              </w:rPr>
            </w:pPr>
          </w:p>
          <w:p w14:paraId="1F65F773">
            <w:pPr>
              <w:pStyle w:val="11"/>
              <w:spacing w:before="55" w:line="195" w:lineRule="auto"/>
              <w:ind w:left="321"/>
            </w:pPr>
            <w:r>
              <w:rPr>
                <w:spacing w:val="1"/>
              </w:rPr>
              <w:t>4</w:t>
            </w:r>
          </w:p>
        </w:tc>
        <w:tc>
          <w:tcPr>
            <w:tcW w:w="1363" w:type="dxa"/>
            <w:vMerge w:val="restart"/>
            <w:tcBorders>
              <w:bottom w:val="nil"/>
            </w:tcBorders>
            <w:vAlign w:val="top"/>
          </w:tcPr>
          <w:p w14:paraId="356B7AD7">
            <w:pPr>
              <w:spacing w:line="277" w:lineRule="auto"/>
              <w:rPr>
                <w:rFonts w:ascii="Arial"/>
                <w:sz w:val="21"/>
              </w:rPr>
            </w:pPr>
          </w:p>
          <w:p w14:paraId="34D86FE2">
            <w:pPr>
              <w:spacing w:line="277" w:lineRule="auto"/>
              <w:rPr>
                <w:rFonts w:ascii="Arial"/>
                <w:sz w:val="21"/>
              </w:rPr>
            </w:pPr>
          </w:p>
          <w:p w14:paraId="3B906BEC">
            <w:pPr>
              <w:spacing w:line="278" w:lineRule="auto"/>
              <w:rPr>
                <w:rFonts w:ascii="Arial"/>
                <w:sz w:val="21"/>
              </w:rPr>
            </w:pPr>
          </w:p>
          <w:p w14:paraId="27600C29">
            <w:pPr>
              <w:spacing w:line="278" w:lineRule="auto"/>
              <w:rPr>
                <w:rFonts w:ascii="Arial"/>
                <w:sz w:val="21"/>
              </w:rPr>
            </w:pPr>
          </w:p>
          <w:p w14:paraId="55DA1370">
            <w:pPr>
              <w:spacing w:line="278" w:lineRule="auto"/>
              <w:rPr>
                <w:rFonts w:ascii="Arial"/>
                <w:sz w:val="21"/>
              </w:rPr>
            </w:pPr>
          </w:p>
          <w:p w14:paraId="5BC056CA">
            <w:pPr>
              <w:spacing w:before="62" w:line="253" w:lineRule="exact"/>
              <w:ind w:left="179"/>
              <w:rPr>
                <w:rFonts w:ascii="仿宋" w:hAnsi="仿宋" w:eastAsia="仿宋" w:cs="仿宋"/>
                <w:sz w:val="19"/>
                <w:szCs w:val="19"/>
              </w:rPr>
            </w:pPr>
            <w:r>
              <w:rPr>
                <w:rFonts w:ascii="仿宋" w:hAnsi="仿宋" w:eastAsia="仿宋" w:cs="仿宋"/>
                <w:position w:val="1"/>
                <w:sz w:val="19"/>
                <w:szCs w:val="19"/>
              </w:rPr>
              <w:t>水稻插秧机</w:t>
            </w:r>
          </w:p>
        </w:tc>
        <w:tc>
          <w:tcPr>
            <w:tcW w:w="3953" w:type="dxa"/>
            <w:vAlign w:val="top"/>
          </w:tcPr>
          <w:p w14:paraId="67BF71D4">
            <w:pPr>
              <w:pStyle w:val="11"/>
              <w:spacing w:before="117" w:line="253" w:lineRule="exact"/>
              <w:jc w:val="center"/>
              <w:rPr>
                <w:rFonts w:ascii="仿宋" w:hAnsi="仿宋" w:eastAsia="仿宋" w:cs="仿宋"/>
              </w:rPr>
            </w:pPr>
            <w:r>
              <w:rPr>
                <w:spacing w:val="2"/>
              </w:rPr>
              <w:t xml:space="preserve">4 </w:t>
            </w:r>
            <w:r>
              <w:rPr>
                <w:rFonts w:ascii="仿宋" w:hAnsi="仿宋" w:eastAsia="仿宋" w:cs="仿宋"/>
                <w:spacing w:val="2"/>
                <w:position w:val="1"/>
              </w:rPr>
              <w:t>行及以上手扶步进式水稻插秧机（简易型）</w:t>
            </w:r>
          </w:p>
        </w:tc>
        <w:tc>
          <w:tcPr>
            <w:tcW w:w="1469" w:type="dxa"/>
            <w:vAlign w:val="top"/>
          </w:tcPr>
          <w:p w14:paraId="1BB08435">
            <w:pPr>
              <w:pStyle w:val="11"/>
              <w:spacing w:before="164" w:line="195" w:lineRule="auto"/>
              <w:ind w:left="404"/>
            </w:pPr>
            <w:r>
              <w:t>600</w:t>
            </w:r>
          </w:p>
        </w:tc>
        <w:tc>
          <w:tcPr>
            <w:tcW w:w="1531" w:type="dxa"/>
            <w:vAlign w:val="top"/>
          </w:tcPr>
          <w:p w14:paraId="44C1A6BA">
            <w:pPr>
              <w:pStyle w:val="11"/>
              <w:spacing w:before="164" w:line="195" w:lineRule="auto"/>
              <w:ind w:left="424"/>
            </w:pPr>
            <w:r>
              <w:t>900</w:t>
            </w:r>
          </w:p>
        </w:tc>
      </w:tr>
      <w:tr w14:paraId="55738B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739" w:type="dxa"/>
            <w:vMerge w:val="continue"/>
            <w:tcBorders>
              <w:top w:val="nil"/>
              <w:bottom w:val="nil"/>
            </w:tcBorders>
            <w:vAlign w:val="top"/>
          </w:tcPr>
          <w:p w14:paraId="4F9166FF">
            <w:pPr>
              <w:rPr>
                <w:rFonts w:ascii="Arial"/>
                <w:sz w:val="21"/>
              </w:rPr>
            </w:pPr>
          </w:p>
        </w:tc>
        <w:tc>
          <w:tcPr>
            <w:tcW w:w="1363" w:type="dxa"/>
            <w:vMerge w:val="continue"/>
            <w:tcBorders>
              <w:top w:val="nil"/>
              <w:bottom w:val="nil"/>
            </w:tcBorders>
            <w:vAlign w:val="top"/>
          </w:tcPr>
          <w:p w14:paraId="22EC902F">
            <w:pPr>
              <w:rPr>
                <w:rFonts w:ascii="Arial"/>
                <w:sz w:val="21"/>
              </w:rPr>
            </w:pPr>
          </w:p>
        </w:tc>
        <w:tc>
          <w:tcPr>
            <w:tcW w:w="3953" w:type="dxa"/>
            <w:vAlign w:val="top"/>
          </w:tcPr>
          <w:p w14:paraId="309DAB4C">
            <w:pPr>
              <w:pStyle w:val="11"/>
              <w:spacing w:before="69" w:line="253" w:lineRule="exact"/>
              <w:jc w:val="center"/>
              <w:rPr>
                <w:rFonts w:ascii="仿宋" w:hAnsi="仿宋" w:eastAsia="仿宋" w:cs="仿宋"/>
              </w:rPr>
            </w:pPr>
            <w:r>
              <w:rPr>
                <w:spacing w:val="1"/>
              </w:rPr>
              <w:t xml:space="preserve">4 </w:t>
            </w:r>
            <w:r>
              <w:rPr>
                <w:rFonts w:ascii="仿宋" w:hAnsi="仿宋" w:eastAsia="仿宋" w:cs="仿宋"/>
                <w:spacing w:val="1"/>
                <w:position w:val="1"/>
              </w:rPr>
              <w:t>行手扶步进式水稻插秧机</w:t>
            </w:r>
          </w:p>
        </w:tc>
        <w:tc>
          <w:tcPr>
            <w:tcW w:w="1469" w:type="dxa"/>
            <w:vAlign w:val="top"/>
          </w:tcPr>
          <w:p w14:paraId="26EEE8B9">
            <w:pPr>
              <w:pStyle w:val="11"/>
              <w:spacing w:before="116" w:line="195" w:lineRule="auto"/>
              <w:ind w:left="404"/>
            </w:pPr>
            <w:r>
              <w:t>630</w:t>
            </w:r>
          </w:p>
        </w:tc>
        <w:tc>
          <w:tcPr>
            <w:tcW w:w="1531" w:type="dxa"/>
            <w:vAlign w:val="top"/>
          </w:tcPr>
          <w:p w14:paraId="17F251CD">
            <w:pPr>
              <w:pStyle w:val="11"/>
              <w:spacing w:before="116" w:line="195" w:lineRule="auto"/>
              <w:ind w:left="424"/>
            </w:pPr>
            <w:r>
              <w:t>940</w:t>
            </w:r>
          </w:p>
        </w:tc>
      </w:tr>
      <w:tr w14:paraId="0493A8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739" w:type="dxa"/>
            <w:vMerge w:val="continue"/>
            <w:tcBorders>
              <w:top w:val="nil"/>
              <w:bottom w:val="nil"/>
            </w:tcBorders>
            <w:vAlign w:val="top"/>
          </w:tcPr>
          <w:p w14:paraId="0A7DAEA5">
            <w:pPr>
              <w:rPr>
                <w:rFonts w:ascii="Arial"/>
                <w:sz w:val="21"/>
              </w:rPr>
            </w:pPr>
          </w:p>
        </w:tc>
        <w:tc>
          <w:tcPr>
            <w:tcW w:w="1363" w:type="dxa"/>
            <w:vMerge w:val="continue"/>
            <w:tcBorders>
              <w:top w:val="nil"/>
              <w:bottom w:val="nil"/>
            </w:tcBorders>
            <w:vAlign w:val="top"/>
          </w:tcPr>
          <w:p w14:paraId="305BE778">
            <w:pPr>
              <w:rPr>
                <w:rFonts w:ascii="Arial"/>
                <w:sz w:val="21"/>
              </w:rPr>
            </w:pPr>
          </w:p>
        </w:tc>
        <w:tc>
          <w:tcPr>
            <w:tcW w:w="3953" w:type="dxa"/>
            <w:vAlign w:val="top"/>
          </w:tcPr>
          <w:p w14:paraId="7960B6EF">
            <w:pPr>
              <w:pStyle w:val="11"/>
              <w:spacing w:before="116" w:line="254" w:lineRule="exact"/>
              <w:jc w:val="center"/>
              <w:rPr>
                <w:rFonts w:ascii="仿宋" w:hAnsi="仿宋" w:eastAsia="仿宋" w:cs="仿宋"/>
              </w:rPr>
            </w:pPr>
            <w:r>
              <w:rPr>
                <w:spacing w:val="1"/>
                <w:position w:val="1"/>
              </w:rPr>
              <w:t xml:space="preserve">6 </w:t>
            </w:r>
            <w:r>
              <w:rPr>
                <w:rFonts w:ascii="仿宋" w:hAnsi="仿宋" w:eastAsia="仿宋" w:cs="仿宋"/>
                <w:spacing w:val="1"/>
                <w:position w:val="1"/>
              </w:rPr>
              <w:t>行及以上手扶步进式水稻插秧机</w:t>
            </w:r>
          </w:p>
        </w:tc>
        <w:tc>
          <w:tcPr>
            <w:tcW w:w="1469" w:type="dxa"/>
            <w:vAlign w:val="top"/>
          </w:tcPr>
          <w:p w14:paraId="5887F491">
            <w:pPr>
              <w:pStyle w:val="11"/>
              <w:spacing w:before="164" w:line="195" w:lineRule="auto"/>
              <w:ind w:left="371"/>
            </w:pPr>
            <w:r>
              <w:rPr>
                <w:spacing w:val="-4"/>
              </w:rPr>
              <w:t>1410</w:t>
            </w:r>
          </w:p>
        </w:tc>
        <w:tc>
          <w:tcPr>
            <w:tcW w:w="1531" w:type="dxa"/>
            <w:vAlign w:val="top"/>
          </w:tcPr>
          <w:p w14:paraId="14D06FFC">
            <w:pPr>
              <w:pStyle w:val="11"/>
              <w:spacing w:before="164" w:line="195" w:lineRule="auto"/>
              <w:ind w:left="372"/>
            </w:pPr>
            <w:r>
              <w:rPr>
                <w:spacing w:val="1"/>
              </w:rPr>
              <w:t>2110</w:t>
            </w:r>
          </w:p>
        </w:tc>
      </w:tr>
      <w:tr w14:paraId="408E50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332ADE1E">
            <w:pPr>
              <w:rPr>
                <w:rFonts w:ascii="Arial"/>
                <w:sz w:val="21"/>
              </w:rPr>
            </w:pPr>
          </w:p>
        </w:tc>
        <w:tc>
          <w:tcPr>
            <w:tcW w:w="1363" w:type="dxa"/>
            <w:vMerge w:val="continue"/>
            <w:tcBorders>
              <w:top w:val="nil"/>
              <w:bottom w:val="nil"/>
            </w:tcBorders>
            <w:vAlign w:val="top"/>
          </w:tcPr>
          <w:p w14:paraId="44BECDFC">
            <w:pPr>
              <w:rPr>
                <w:rFonts w:ascii="Arial"/>
                <w:sz w:val="21"/>
              </w:rPr>
            </w:pPr>
          </w:p>
        </w:tc>
        <w:tc>
          <w:tcPr>
            <w:tcW w:w="3953" w:type="dxa"/>
            <w:vAlign w:val="top"/>
          </w:tcPr>
          <w:p w14:paraId="2A2FEAC3">
            <w:pPr>
              <w:pStyle w:val="11"/>
              <w:spacing w:before="118" w:line="253" w:lineRule="exact"/>
              <w:jc w:val="center"/>
              <w:rPr>
                <w:rFonts w:ascii="仿宋" w:hAnsi="仿宋" w:eastAsia="仿宋" w:cs="仿宋"/>
              </w:rPr>
            </w:pPr>
            <w:r>
              <w:rPr>
                <w:spacing w:val="1"/>
                <w:position w:val="1"/>
              </w:rPr>
              <w:t xml:space="preserve">6 </w:t>
            </w:r>
            <w:r>
              <w:rPr>
                <w:rFonts w:ascii="仿宋" w:hAnsi="仿宋" w:eastAsia="仿宋" w:cs="仿宋"/>
                <w:spacing w:val="1"/>
                <w:position w:val="1"/>
              </w:rPr>
              <w:t>行及以上独轮乘坐式水稻插秧机</w:t>
            </w:r>
          </w:p>
        </w:tc>
        <w:tc>
          <w:tcPr>
            <w:tcW w:w="1469" w:type="dxa"/>
            <w:vAlign w:val="top"/>
          </w:tcPr>
          <w:p w14:paraId="7019142C">
            <w:pPr>
              <w:pStyle w:val="11"/>
              <w:spacing w:before="165" w:line="195" w:lineRule="auto"/>
              <w:ind w:left="371"/>
            </w:pPr>
            <w:r>
              <w:rPr>
                <w:spacing w:val="-4"/>
              </w:rPr>
              <w:t>1050</w:t>
            </w:r>
          </w:p>
        </w:tc>
        <w:tc>
          <w:tcPr>
            <w:tcW w:w="1531" w:type="dxa"/>
            <w:vAlign w:val="top"/>
          </w:tcPr>
          <w:p w14:paraId="65944A07">
            <w:pPr>
              <w:pStyle w:val="11"/>
              <w:spacing w:before="165" w:line="195" w:lineRule="auto"/>
              <w:ind w:left="391"/>
            </w:pPr>
            <w:r>
              <w:rPr>
                <w:spacing w:val="-4"/>
              </w:rPr>
              <w:t>1570</w:t>
            </w:r>
          </w:p>
        </w:tc>
      </w:tr>
      <w:tr w14:paraId="101E3A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6B274003">
            <w:pPr>
              <w:rPr>
                <w:rFonts w:ascii="Arial"/>
                <w:sz w:val="21"/>
              </w:rPr>
            </w:pPr>
          </w:p>
        </w:tc>
        <w:tc>
          <w:tcPr>
            <w:tcW w:w="1363" w:type="dxa"/>
            <w:vMerge w:val="continue"/>
            <w:tcBorders>
              <w:top w:val="nil"/>
              <w:bottom w:val="nil"/>
            </w:tcBorders>
            <w:vAlign w:val="top"/>
          </w:tcPr>
          <w:p w14:paraId="0784718A">
            <w:pPr>
              <w:rPr>
                <w:rFonts w:ascii="Arial"/>
                <w:sz w:val="21"/>
              </w:rPr>
            </w:pPr>
          </w:p>
        </w:tc>
        <w:tc>
          <w:tcPr>
            <w:tcW w:w="3953" w:type="dxa"/>
            <w:vAlign w:val="top"/>
          </w:tcPr>
          <w:p w14:paraId="2C3D7ED3">
            <w:pPr>
              <w:pStyle w:val="11"/>
              <w:spacing w:before="118" w:line="253" w:lineRule="exact"/>
              <w:jc w:val="center"/>
              <w:rPr>
                <w:rFonts w:ascii="仿宋" w:hAnsi="仿宋" w:eastAsia="仿宋" w:cs="仿宋"/>
              </w:rPr>
            </w:pPr>
            <w:r>
              <w:rPr>
                <w:spacing w:val="1"/>
              </w:rPr>
              <w:t xml:space="preserve">4 </w:t>
            </w:r>
            <w:r>
              <w:rPr>
                <w:rFonts w:ascii="仿宋" w:hAnsi="仿宋" w:eastAsia="仿宋" w:cs="仿宋"/>
                <w:spacing w:val="1"/>
                <w:position w:val="1"/>
              </w:rPr>
              <w:t>行四轮乘坐式水稻插秧机</w:t>
            </w:r>
          </w:p>
        </w:tc>
        <w:tc>
          <w:tcPr>
            <w:tcW w:w="1469" w:type="dxa"/>
            <w:vAlign w:val="top"/>
          </w:tcPr>
          <w:p w14:paraId="02560FAB">
            <w:pPr>
              <w:pStyle w:val="11"/>
              <w:spacing w:before="165" w:line="195" w:lineRule="auto"/>
              <w:ind w:left="355"/>
            </w:pPr>
            <w:r>
              <w:t>3720</w:t>
            </w:r>
          </w:p>
        </w:tc>
        <w:tc>
          <w:tcPr>
            <w:tcW w:w="1531" w:type="dxa"/>
            <w:vAlign w:val="top"/>
          </w:tcPr>
          <w:p w14:paraId="3B0BD455">
            <w:pPr>
              <w:pStyle w:val="11"/>
              <w:spacing w:before="165" w:line="195" w:lineRule="auto"/>
              <w:ind w:left="377"/>
            </w:pPr>
            <w:r>
              <w:t>5580</w:t>
            </w:r>
          </w:p>
        </w:tc>
      </w:tr>
      <w:tr w14:paraId="4FAECF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329E8A0D">
            <w:pPr>
              <w:rPr>
                <w:rFonts w:ascii="Arial"/>
                <w:sz w:val="21"/>
              </w:rPr>
            </w:pPr>
          </w:p>
        </w:tc>
        <w:tc>
          <w:tcPr>
            <w:tcW w:w="1363" w:type="dxa"/>
            <w:vMerge w:val="continue"/>
            <w:tcBorders>
              <w:top w:val="nil"/>
              <w:bottom w:val="nil"/>
            </w:tcBorders>
            <w:vAlign w:val="top"/>
          </w:tcPr>
          <w:p w14:paraId="097FBB69">
            <w:pPr>
              <w:rPr>
                <w:rFonts w:ascii="Arial"/>
                <w:sz w:val="21"/>
              </w:rPr>
            </w:pPr>
          </w:p>
        </w:tc>
        <w:tc>
          <w:tcPr>
            <w:tcW w:w="3953" w:type="dxa"/>
            <w:vAlign w:val="top"/>
          </w:tcPr>
          <w:p w14:paraId="0FB83A3A">
            <w:pPr>
              <w:pStyle w:val="11"/>
              <w:spacing w:before="116" w:line="253" w:lineRule="exact"/>
              <w:jc w:val="center"/>
              <w:rPr>
                <w:rFonts w:ascii="仿宋" w:hAnsi="仿宋" w:eastAsia="仿宋" w:cs="仿宋"/>
              </w:rPr>
            </w:pPr>
            <w:r>
              <w:rPr>
                <w:spacing w:val="1"/>
              </w:rPr>
              <w:t xml:space="preserve">6—7 </w:t>
            </w:r>
            <w:r>
              <w:rPr>
                <w:rFonts w:ascii="仿宋" w:hAnsi="仿宋" w:eastAsia="仿宋" w:cs="仿宋"/>
                <w:spacing w:val="1"/>
                <w:position w:val="1"/>
              </w:rPr>
              <w:t>行四轮乘坐式水稻插秧机</w:t>
            </w:r>
          </w:p>
        </w:tc>
        <w:tc>
          <w:tcPr>
            <w:tcW w:w="1469" w:type="dxa"/>
            <w:vAlign w:val="top"/>
          </w:tcPr>
          <w:p w14:paraId="6E8482C1">
            <w:pPr>
              <w:pStyle w:val="11"/>
              <w:spacing w:before="163" w:line="195" w:lineRule="auto"/>
              <w:ind w:left="355"/>
            </w:pPr>
            <w:r>
              <w:t>7830</w:t>
            </w:r>
          </w:p>
        </w:tc>
        <w:tc>
          <w:tcPr>
            <w:tcW w:w="1531" w:type="dxa"/>
            <w:vAlign w:val="top"/>
          </w:tcPr>
          <w:p w14:paraId="0C2FFFEF">
            <w:pPr>
              <w:pStyle w:val="11"/>
              <w:spacing w:before="163" w:line="195" w:lineRule="auto"/>
              <w:ind w:left="343"/>
            </w:pPr>
            <w:r>
              <w:rPr>
                <w:spacing w:val="-3"/>
              </w:rPr>
              <w:t>11740</w:t>
            </w:r>
          </w:p>
        </w:tc>
      </w:tr>
      <w:tr w14:paraId="2BDA6B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tcBorders>
            <w:vAlign w:val="top"/>
          </w:tcPr>
          <w:p w14:paraId="02AFE2EA">
            <w:pPr>
              <w:rPr>
                <w:rFonts w:ascii="Arial"/>
                <w:sz w:val="21"/>
              </w:rPr>
            </w:pPr>
          </w:p>
        </w:tc>
        <w:tc>
          <w:tcPr>
            <w:tcW w:w="1363" w:type="dxa"/>
            <w:vMerge w:val="continue"/>
            <w:tcBorders>
              <w:top w:val="nil"/>
            </w:tcBorders>
            <w:vAlign w:val="top"/>
          </w:tcPr>
          <w:p w14:paraId="3F3F2B05">
            <w:pPr>
              <w:rPr>
                <w:rFonts w:ascii="Arial"/>
                <w:sz w:val="21"/>
              </w:rPr>
            </w:pPr>
          </w:p>
        </w:tc>
        <w:tc>
          <w:tcPr>
            <w:tcW w:w="3953" w:type="dxa"/>
            <w:vAlign w:val="top"/>
          </w:tcPr>
          <w:p w14:paraId="5F2C3215">
            <w:pPr>
              <w:pStyle w:val="11"/>
              <w:spacing w:before="116" w:line="253" w:lineRule="exact"/>
              <w:jc w:val="center"/>
              <w:rPr>
                <w:rFonts w:ascii="仿宋" w:hAnsi="仿宋" w:eastAsia="仿宋" w:cs="仿宋"/>
              </w:rPr>
            </w:pPr>
            <w:r>
              <w:rPr>
                <w:spacing w:val="1"/>
                <w:position w:val="1"/>
              </w:rPr>
              <w:t xml:space="preserve">8 </w:t>
            </w:r>
            <w:r>
              <w:rPr>
                <w:rFonts w:ascii="仿宋" w:hAnsi="仿宋" w:eastAsia="仿宋" w:cs="仿宋"/>
                <w:spacing w:val="1"/>
                <w:position w:val="1"/>
              </w:rPr>
              <w:t>行及以上四轮乘坐式水稻插秧机</w:t>
            </w:r>
          </w:p>
        </w:tc>
        <w:tc>
          <w:tcPr>
            <w:tcW w:w="1469" w:type="dxa"/>
            <w:vAlign w:val="top"/>
          </w:tcPr>
          <w:p w14:paraId="117E489D">
            <w:pPr>
              <w:pStyle w:val="11"/>
              <w:spacing w:before="163" w:line="195" w:lineRule="auto"/>
              <w:ind w:left="355"/>
            </w:pPr>
            <w:r>
              <w:t>9000</w:t>
            </w:r>
          </w:p>
        </w:tc>
        <w:tc>
          <w:tcPr>
            <w:tcW w:w="1531" w:type="dxa"/>
            <w:vAlign w:val="top"/>
          </w:tcPr>
          <w:p w14:paraId="5ABBB38D">
            <w:pPr>
              <w:pStyle w:val="11"/>
              <w:spacing w:before="163" w:line="195" w:lineRule="auto"/>
              <w:ind w:left="343"/>
            </w:pPr>
            <w:r>
              <w:rPr>
                <w:spacing w:val="-3"/>
              </w:rPr>
              <w:t>13500</w:t>
            </w:r>
          </w:p>
        </w:tc>
      </w:tr>
      <w:tr w14:paraId="56948C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739" w:type="dxa"/>
            <w:vAlign w:val="top"/>
          </w:tcPr>
          <w:p w14:paraId="0F68ACAA">
            <w:pPr>
              <w:pStyle w:val="11"/>
              <w:spacing w:before="221" w:line="192" w:lineRule="auto"/>
              <w:ind w:left="327"/>
            </w:pPr>
            <w:r>
              <w:t>5</w:t>
            </w:r>
          </w:p>
        </w:tc>
        <w:tc>
          <w:tcPr>
            <w:tcW w:w="1363" w:type="dxa"/>
            <w:vAlign w:val="top"/>
          </w:tcPr>
          <w:p w14:paraId="5DE58840">
            <w:pPr>
              <w:spacing w:before="29" w:line="255" w:lineRule="auto"/>
              <w:ind w:left="177" w:right="163" w:firstLine="1"/>
              <w:rPr>
                <w:rFonts w:ascii="仿宋" w:hAnsi="仿宋" w:eastAsia="仿宋" w:cs="仿宋"/>
                <w:sz w:val="19"/>
                <w:szCs w:val="19"/>
              </w:rPr>
            </w:pPr>
            <w:r>
              <w:rPr>
                <w:rFonts w:ascii="仿宋" w:hAnsi="仿宋" w:eastAsia="仿宋" w:cs="仿宋"/>
                <w:sz w:val="19"/>
                <w:szCs w:val="19"/>
              </w:rPr>
              <w:t>农用北斗辅</w:t>
            </w:r>
            <w:r>
              <w:rPr>
                <w:rFonts w:ascii="仿宋" w:hAnsi="仿宋" w:eastAsia="仿宋" w:cs="仿宋"/>
                <w:spacing w:val="3"/>
                <w:sz w:val="19"/>
                <w:szCs w:val="19"/>
              </w:rPr>
              <w:t xml:space="preserve"> </w:t>
            </w:r>
            <w:r>
              <w:rPr>
                <w:rFonts w:ascii="仿宋" w:hAnsi="仿宋" w:eastAsia="仿宋" w:cs="仿宋"/>
                <w:spacing w:val="1"/>
                <w:sz w:val="19"/>
                <w:szCs w:val="19"/>
              </w:rPr>
              <w:t>助驾驶系统</w:t>
            </w:r>
          </w:p>
        </w:tc>
        <w:tc>
          <w:tcPr>
            <w:tcW w:w="3953" w:type="dxa"/>
            <w:vAlign w:val="top"/>
          </w:tcPr>
          <w:p w14:paraId="5483FE93">
            <w:pPr>
              <w:jc w:val="center"/>
              <w:rPr>
                <w:rFonts w:ascii="Arial"/>
                <w:sz w:val="21"/>
              </w:rPr>
            </w:pPr>
          </w:p>
        </w:tc>
        <w:tc>
          <w:tcPr>
            <w:tcW w:w="1469" w:type="dxa"/>
            <w:vAlign w:val="top"/>
          </w:tcPr>
          <w:p w14:paraId="5F5A1FDD">
            <w:pPr>
              <w:pStyle w:val="11"/>
              <w:spacing w:before="218" w:line="195" w:lineRule="auto"/>
              <w:ind w:left="407"/>
            </w:pPr>
            <w:r>
              <w:rPr>
                <w:spacing w:val="-2"/>
              </w:rPr>
              <w:t>800</w:t>
            </w:r>
          </w:p>
        </w:tc>
        <w:tc>
          <w:tcPr>
            <w:tcW w:w="1531" w:type="dxa"/>
            <w:vAlign w:val="top"/>
          </w:tcPr>
          <w:p w14:paraId="60C005E3">
            <w:pPr>
              <w:pStyle w:val="11"/>
              <w:spacing w:before="155" w:line="261" w:lineRule="exact"/>
              <w:ind w:left="534"/>
            </w:pPr>
            <w:r>
              <w:rPr>
                <w:spacing w:val="2"/>
                <w:position w:val="1"/>
              </w:rPr>
              <w:t>/</w:t>
            </w:r>
          </w:p>
        </w:tc>
      </w:tr>
      <w:tr w14:paraId="74DC9F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restart"/>
            <w:tcBorders>
              <w:bottom w:val="nil"/>
            </w:tcBorders>
            <w:vAlign w:val="top"/>
          </w:tcPr>
          <w:p w14:paraId="2B208D29">
            <w:pPr>
              <w:spacing w:line="245" w:lineRule="auto"/>
              <w:rPr>
                <w:rFonts w:ascii="Arial"/>
                <w:sz w:val="21"/>
              </w:rPr>
            </w:pPr>
          </w:p>
          <w:p w14:paraId="468FF83B">
            <w:pPr>
              <w:spacing w:line="245" w:lineRule="auto"/>
              <w:rPr>
                <w:rFonts w:ascii="Arial"/>
                <w:sz w:val="21"/>
              </w:rPr>
            </w:pPr>
          </w:p>
          <w:p w14:paraId="3927563C">
            <w:pPr>
              <w:spacing w:line="246" w:lineRule="auto"/>
              <w:rPr>
                <w:rFonts w:ascii="Arial"/>
                <w:sz w:val="21"/>
              </w:rPr>
            </w:pPr>
          </w:p>
          <w:p w14:paraId="49CEAF95">
            <w:pPr>
              <w:spacing w:line="246" w:lineRule="auto"/>
              <w:rPr>
                <w:rFonts w:ascii="Arial"/>
                <w:sz w:val="21"/>
              </w:rPr>
            </w:pPr>
          </w:p>
          <w:p w14:paraId="3D88D599">
            <w:pPr>
              <w:spacing w:line="246" w:lineRule="auto"/>
              <w:rPr>
                <w:rFonts w:ascii="Arial"/>
                <w:sz w:val="21"/>
              </w:rPr>
            </w:pPr>
          </w:p>
          <w:p w14:paraId="3C5874CE">
            <w:pPr>
              <w:spacing w:line="246" w:lineRule="auto"/>
              <w:rPr>
                <w:rFonts w:ascii="Arial"/>
                <w:sz w:val="21"/>
              </w:rPr>
            </w:pPr>
          </w:p>
          <w:p w14:paraId="711CF1CB">
            <w:pPr>
              <w:spacing w:line="246" w:lineRule="auto"/>
              <w:rPr>
                <w:rFonts w:ascii="Arial"/>
                <w:sz w:val="21"/>
              </w:rPr>
            </w:pPr>
          </w:p>
          <w:p w14:paraId="51954E1D">
            <w:pPr>
              <w:pStyle w:val="11"/>
              <w:spacing w:before="55" w:line="195" w:lineRule="auto"/>
              <w:ind w:left="326"/>
            </w:pPr>
            <w:r>
              <w:t>6</w:t>
            </w:r>
          </w:p>
        </w:tc>
        <w:tc>
          <w:tcPr>
            <w:tcW w:w="1363" w:type="dxa"/>
            <w:vMerge w:val="restart"/>
            <w:tcBorders>
              <w:bottom w:val="nil"/>
            </w:tcBorders>
            <w:vAlign w:val="top"/>
          </w:tcPr>
          <w:p w14:paraId="1BF233D5">
            <w:pPr>
              <w:spacing w:line="247" w:lineRule="auto"/>
              <w:rPr>
                <w:rFonts w:ascii="Arial"/>
                <w:sz w:val="21"/>
              </w:rPr>
            </w:pPr>
          </w:p>
          <w:p w14:paraId="787023CB">
            <w:pPr>
              <w:spacing w:line="248" w:lineRule="auto"/>
              <w:rPr>
                <w:rFonts w:ascii="Arial"/>
                <w:sz w:val="21"/>
              </w:rPr>
            </w:pPr>
          </w:p>
          <w:p w14:paraId="751B4291">
            <w:pPr>
              <w:spacing w:line="248" w:lineRule="auto"/>
              <w:rPr>
                <w:rFonts w:ascii="Arial"/>
                <w:sz w:val="21"/>
              </w:rPr>
            </w:pPr>
          </w:p>
          <w:p w14:paraId="5EF5EA81">
            <w:pPr>
              <w:spacing w:line="248" w:lineRule="auto"/>
              <w:rPr>
                <w:rFonts w:ascii="Arial"/>
                <w:sz w:val="21"/>
              </w:rPr>
            </w:pPr>
          </w:p>
          <w:p w14:paraId="699D59EA">
            <w:pPr>
              <w:spacing w:line="248" w:lineRule="auto"/>
              <w:rPr>
                <w:rFonts w:ascii="Arial"/>
                <w:sz w:val="21"/>
              </w:rPr>
            </w:pPr>
          </w:p>
          <w:p w14:paraId="391789ED">
            <w:pPr>
              <w:spacing w:line="248" w:lineRule="auto"/>
              <w:rPr>
                <w:rFonts w:ascii="Arial"/>
                <w:sz w:val="21"/>
              </w:rPr>
            </w:pPr>
          </w:p>
          <w:p w14:paraId="1E98A13A">
            <w:pPr>
              <w:spacing w:before="61" w:line="331" w:lineRule="auto"/>
              <w:ind w:left="258" w:right="259" w:firstLine="14"/>
              <w:rPr>
                <w:rFonts w:ascii="仿宋" w:hAnsi="仿宋" w:eastAsia="仿宋" w:cs="仿宋"/>
                <w:sz w:val="19"/>
                <w:szCs w:val="19"/>
              </w:rPr>
            </w:pPr>
            <w:r>
              <w:rPr>
                <w:rFonts w:ascii="仿宋" w:hAnsi="仿宋" w:eastAsia="仿宋" w:cs="仿宋"/>
                <w:spacing w:val="1"/>
                <w:sz w:val="19"/>
                <w:szCs w:val="19"/>
              </w:rPr>
              <w:t>机动喷雾</w:t>
            </w:r>
            <w:r>
              <w:rPr>
                <w:rFonts w:ascii="仿宋" w:hAnsi="仿宋" w:eastAsia="仿宋" w:cs="仿宋"/>
                <w:sz w:val="19"/>
                <w:szCs w:val="19"/>
              </w:rPr>
              <w:t xml:space="preserve"> </w:t>
            </w:r>
            <w:r>
              <w:rPr>
                <w:rFonts w:ascii="仿宋" w:hAnsi="仿宋" w:eastAsia="仿宋" w:cs="仿宋"/>
                <w:spacing w:val="4"/>
                <w:sz w:val="19"/>
                <w:szCs w:val="19"/>
              </w:rPr>
              <w:t>（粉）机</w:t>
            </w:r>
          </w:p>
        </w:tc>
        <w:tc>
          <w:tcPr>
            <w:tcW w:w="3953" w:type="dxa"/>
            <w:vAlign w:val="top"/>
          </w:tcPr>
          <w:p w14:paraId="4C5FB590">
            <w:pPr>
              <w:pStyle w:val="11"/>
              <w:spacing w:before="118" w:line="256" w:lineRule="exact"/>
              <w:jc w:val="center"/>
              <w:rPr>
                <w:rFonts w:ascii="仿宋" w:hAnsi="仿宋" w:eastAsia="仿宋" w:cs="仿宋"/>
              </w:rPr>
            </w:pPr>
            <w:r>
              <w:rPr>
                <w:rFonts w:ascii="仿宋" w:hAnsi="仿宋" w:eastAsia="仿宋" w:cs="仿宋"/>
                <w:spacing w:val="-3"/>
                <w:position w:val="1"/>
              </w:rPr>
              <w:t>喷幅＜</w:t>
            </w:r>
            <w:r>
              <w:rPr>
                <w:rFonts w:ascii="仿宋" w:hAnsi="仿宋" w:eastAsia="仿宋" w:cs="仿宋"/>
                <w:spacing w:val="-47"/>
                <w:position w:val="1"/>
              </w:rPr>
              <w:t xml:space="preserve"> </w:t>
            </w:r>
            <w:r>
              <w:rPr>
                <w:spacing w:val="-3"/>
              </w:rPr>
              <w:t>12m</w:t>
            </w:r>
            <w:r>
              <w:rPr>
                <w:spacing w:val="18"/>
              </w:rPr>
              <w:t xml:space="preserve"> </w:t>
            </w:r>
            <w:r>
              <w:rPr>
                <w:rFonts w:ascii="仿宋" w:hAnsi="仿宋" w:eastAsia="仿宋" w:cs="仿宋"/>
                <w:spacing w:val="-3"/>
                <w:position w:val="1"/>
              </w:rPr>
              <w:t>悬挂及牵引式喷杆喷雾机</w:t>
            </w:r>
          </w:p>
        </w:tc>
        <w:tc>
          <w:tcPr>
            <w:tcW w:w="1469" w:type="dxa"/>
            <w:vAlign w:val="top"/>
          </w:tcPr>
          <w:p w14:paraId="7640447E">
            <w:pPr>
              <w:pStyle w:val="11"/>
              <w:spacing w:before="165" w:line="195" w:lineRule="auto"/>
              <w:ind w:left="399"/>
            </w:pPr>
            <w:r>
              <w:rPr>
                <w:spacing w:val="1"/>
              </w:rPr>
              <w:t>210</w:t>
            </w:r>
          </w:p>
        </w:tc>
        <w:tc>
          <w:tcPr>
            <w:tcW w:w="1531" w:type="dxa"/>
            <w:vAlign w:val="top"/>
          </w:tcPr>
          <w:p w14:paraId="1F611071">
            <w:pPr>
              <w:pStyle w:val="11"/>
              <w:spacing w:before="102" w:line="261" w:lineRule="exact"/>
              <w:ind w:left="534"/>
            </w:pPr>
            <w:r>
              <w:rPr>
                <w:spacing w:val="2"/>
                <w:position w:val="1"/>
              </w:rPr>
              <w:t>/</w:t>
            </w:r>
          </w:p>
        </w:tc>
      </w:tr>
      <w:tr w14:paraId="21D518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0AF31179">
            <w:pPr>
              <w:rPr>
                <w:rFonts w:ascii="Arial"/>
                <w:sz w:val="21"/>
              </w:rPr>
            </w:pPr>
          </w:p>
        </w:tc>
        <w:tc>
          <w:tcPr>
            <w:tcW w:w="1363" w:type="dxa"/>
            <w:vMerge w:val="continue"/>
            <w:tcBorders>
              <w:top w:val="nil"/>
              <w:bottom w:val="nil"/>
            </w:tcBorders>
            <w:vAlign w:val="top"/>
          </w:tcPr>
          <w:p w14:paraId="6E72C734">
            <w:pPr>
              <w:rPr>
                <w:rFonts w:ascii="Arial"/>
                <w:sz w:val="21"/>
              </w:rPr>
            </w:pPr>
          </w:p>
        </w:tc>
        <w:tc>
          <w:tcPr>
            <w:tcW w:w="3953" w:type="dxa"/>
            <w:vAlign w:val="top"/>
          </w:tcPr>
          <w:p w14:paraId="303C1C86">
            <w:pPr>
              <w:pStyle w:val="11"/>
              <w:spacing w:before="118" w:line="252" w:lineRule="exact"/>
              <w:jc w:val="center"/>
              <w:rPr>
                <w:rFonts w:ascii="仿宋" w:hAnsi="仿宋" w:eastAsia="仿宋" w:cs="仿宋"/>
              </w:rPr>
            </w:pPr>
            <w:r>
              <w:rPr>
                <w:spacing w:val="-3"/>
              </w:rPr>
              <w:t>12m≤</w:t>
            </w:r>
            <w:r>
              <w:rPr>
                <w:rFonts w:ascii="仿宋" w:hAnsi="仿宋" w:eastAsia="仿宋" w:cs="仿宋"/>
                <w:spacing w:val="-3"/>
                <w:position w:val="1"/>
              </w:rPr>
              <w:t>喷幅＜</w:t>
            </w:r>
            <w:r>
              <w:rPr>
                <w:rFonts w:ascii="仿宋" w:hAnsi="仿宋" w:eastAsia="仿宋" w:cs="仿宋"/>
                <w:spacing w:val="-27"/>
                <w:position w:val="1"/>
              </w:rPr>
              <w:t xml:space="preserve"> </w:t>
            </w:r>
            <w:r>
              <w:rPr>
                <w:spacing w:val="-3"/>
              </w:rPr>
              <w:t>18m</w:t>
            </w:r>
            <w:r>
              <w:rPr>
                <w:spacing w:val="15"/>
                <w:w w:val="102"/>
              </w:rPr>
              <w:t xml:space="preserve"> </w:t>
            </w:r>
            <w:r>
              <w:rPr>
                <w:rFonts w:ascii="仿宋" w:hAnsi="仿宋" w:eastAsia="仿宋" w:cs="仿宋"/>
                <w:spacing w:val="-3"/>
                <w:position w:val="1"/>
              </w:rPr>
              <w:t>悬挂及牵引式喷杆喷雾机</w:t>
            </w:r>
          </w:p>
        </w:tc>
        <w:tc>
          <w:tcPr>
            <w:tcW w:w="1469" w:type="dxa"/>
            <w:vAlign w:val="top"/>
          </w:tcPr>
          <w:p w14:paraId="060A4122">
            <w:pPr>
              <w:pStyle w:val="11"/>
              <w:spacing w:before="166" w:line="195" w:lineRule="auto"/>
              <w:ind w:left="399"/>
            </w:pPr>
            <w:r>
              <w:rPr>
                <w:spacing w:val="1"/>
              </w:rPr>
              <w:t>280</w:t>
            </w:r>
          </w:p>
        </w:tc>
        <w:tc>
          <w:tcPr>
            <w:tcW w:w="1531" w:type="dxa"/>
            <w:vAlign w:val="top"/>
          </w:tcPr>
          <w:p w14:paraId="37CD1787">
            <w:pPr>
              <w:pStyle w:val="11"/>
              <w:spacing w:before="102" w:line="261" w:lineRule="exact"/>
              <w:ind w:left="534"/>
            </w:pPr>
            <w:r>
              <w:rPr>
                <w:spacing w:val="2"/>
                <w:position w:val="1"/>
              </w:rPr>
              <w:t>/</w:t>
            </w:r>
          </w:p>
        </w:tc>
      </w:tr>
      <w:tr w14:paraId="451FBD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341B7753">
            <w:pPr>
              <w:rPr>
                <w:rFonts w:ascii="Arial"/>
                <w:sz w:val="21"/>
              </w:rPr>
            </w:pPr>
          </w:p>
        </w:tc>
        <w:tc>
          <w:tcPr>
            <w:tcW w:w="1363" w:type="dxa"/>
            <w:vMerge w:val="continue"/>
            <w:tcBorders>
              <w:top w:val="nil"/>
              <w:bottom w:val="nil"/>
            </w:tcBorders>
            <w:vAlign w:val="top"/>
          </w:tcPr>
          <w:p w14:paraId="7594235C">
            <w:pPr>
              <w:rPr>
                <w:rFonts w:ascii="Arial"/>
                <w:sz w:val="21"/>
              </w:rPr>
            </w:pPr>
          </w:p>
        </w:tc>
        <w:tc>
          <w:tcPr>
            <w:tcW w:w="3953" w:type="dxa"/>
            <w:vAlign w:val="top"/>
          </w:tcPr>
          <w:p w14:paraId="6717C178">
            <w:pPr>
              <w:pStyle w:val="11"/>
              <w:spacing w:before="119" w:line="251" w:lineRule="exact"/>
              <w:jc w:val="center"/>
              <w:rPr>
                <w:rFonts w:ascii="仿宋" w:hAnsi="仿宋" w:eastAsia="仿宋" w:cs="仿宋"/>
              </w:rPr>
            </w:pPr>
            <w:r>
              <w:rPr>
                <w:rFonts w:ascii="仿宋" w:hAnsi="仿宋" w:eastAsia="仿宋" w:cs="仿宋"/>
                <w:spacing w:val="-1"/>
                <w:position w:val="1"/>
              </w:rPr>
              <w:t>喷幅</w:t>
            </w:r>
            <w:r>
              <w:rPr>
                <w:spacing w:val="-1"/>
              </w:rPr>
              <w:t>≥18m</w:t>
            </w:r>
            <w:r>
              <w:rPr>
                <w:spacing w:val="31"/>
              </w:rPr>
              <w:t xml:space="preserve"> </w:t>
            </w:r>
            <w:r>
              <w:rPr>
                <w:rFonts w:ascii="仿宋" w:hAnsi="仿宋" w:eastAsia="仿宋" w:cs="仿宋"/>
                <w:spacing w:val="-1"/>
                <w:position w:val="1"/>
              </w:rPr>
              <w:t>悬挂及牵引式喷杆喷雾机</w:t>
            </w:r>
          </w:p>
        </w:tc>
        <w:tc>
          <w:tcPr>
            <w:tcW w:w="1469" w:type="dxa"/>
            <w:vAlign w:val="top"/>
          </w:tcPr>
          <w:p w14:paraId="44E7278D">
            <w:pPr>
              <w:pStyle w:val="11"/>
              <w:spacing w:before="166" w:line="195" w:lineRule="auto"/>
              <w:ind w:left="371"/>
            </w:pPr>
            <w:r>
              <w:rPr>
                <w:spacing w:val="-4"/>
              </w:rPr>
              <w:t>1230</w:t>
            </w:r>
          </w:p>
        </w:tc>
        <w:tc>
          <w:tcPr>
            <w:tcW w:w="1531" w:type="dxa"/>
            <w:vAlign w:val="top"/>
          </w:tcPr>
          <w:p w14:paraId="4850344D">
            <w:pPr>
              <w:pStyle w:val="11"/>
              <w:spacing w:before="102" w:line="261" w:lineRule="exact"/>
              <w:ind w:left="534"/>
            </w:pPr>
            <w:r>
              <w:rPr>
                <w:spacing w:val="2"/>
                <w:position w:val="1"/>
              </w:rPr>
              <w:t>/</w:t>
            </w:r>
          </w:p>
        </w:tc>
      </w:tr>
      <w:tr w14:paraId="1FD9E8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04580952">
            <w:pPr>
              <w:rPr>
                <w:rFonts w:ascii="Arial"/>
                <w:sz w:val="21"/>
              </w:rPr>
            </w:pPr>
          </w:p>
        </w:tc>
        <w:tc>
          <w:tcPr>
            <w:tcW w:w="1363" w:type="dxa"/>
            <w:vMerge w:val="continue"/>
            <w:tcBorders>
              <w:top w:val="nil"/>
              <w:bottom w:val="nil"/>
            </w:tcBorders>
            <w:vAlign w:val="top"/>
          </w:tcPr>
          <w:p w14:paraId="20769D1A">
            <w:pPr>
              <w:rPr>
                <w:rFonts w:ascii="Arial"/>
                <w:sz w:val="21"/>
              </w:rPr>
            </w:pPr>
          </w:p>
        </w:tc>
        <w:tc>
          <w:tcPr>
            <w:tcW w:w="3953" w:type="dxa"/>
            <w:vAlign w:val="top"/>
          </w:tcPr>
          <w:p w14:paraId="1D8963CA">
            <w:pPr>
              <w:pStyle w:val="11"/>
              <w:spacing w:before="119" w:line="256" w:lineRule="exact"/>
              <w:jc w:val="center"/>
              <w:rPr>
                <w:rFonts w:ascii="仿宋" w:hAnsi="仿宋" w:eastAsia="仿宋" w:cs="仿宋"/>
              </w:rPr>
            </w:pPr>
            <w:r>
              <w:rPr>
                <w:rFonts w:ascii="仿宋" w:hAnsi="仿宋" w:eastAsia="仿宋" w:cs="仿宋"/>
                <w:spacing w:val="-3"/>
                <w:position w:val="1"/>
              </w:rPr>
              <w:t>功率＜</w:t>
            </w:r>
            <w:r>
              <w:rPr>
                <w:rFonts w:ascii="仿宋" w:hAnsi="仿宋" w:eastAsia="仿宋" w:cs="仿宋"/>
                <w:spacing w:val="-32"/>
                <w:position w:val="1"/>
              </w:rPr>
              <w:t xml:space="preserve"> </w:t>
            </w:r>
            <w:r>
              <w:rPr>
                <w:spacing w:val="-3"/>
                <w:position w:val="1"/>
              </w:rPr>
              <w:t xml:space="preserve">18 </w:t>
            </w:r>
            <w:r>
              <w:rPr>
                <w:rFonts w:ascii="仿宋" w:hAnsi="仿宋" w:eastAsia="仿宋" w:cs="仿宋"/>
                <w:spacing w:val="-3"/>
                <w:position w:val="1"/>
              </w:rPr>
              <w:t>马力自走式喷杆喷雾机</w:t>
            </w:r>
          </w:p>
        </w:tc>
        <w:tc>
          <w:tcPr>
            <w:tcW w:w="1469" w:type="dxa"/>
            <w:vAlign w:val="top"/>
          </w:tcPr>
          <w:p w14:paraId="272F19B9">
            <w:pPr>
              <w:pStyle w:val="11"/>
              <w:spacing w:before="166" w:line="195" w:lineRule="auto"/>
              <w:ind w:left="407"/>
            </w:pPr>
            <w:r>
              <w:rPr>
                <w:spacing w:val="-2"/>
              </w:rPr>
              <w:t>810</w:t>
            </w:r>
          </w:p>
        </w:tc>
        <w:tc>
          <w:tcPr>
            <w:tcW w:w="1531" w:type="dxa"/>
            <w:vAlign w:val="top"/>
          </w:tcPr>
          <w:p w14:paraId="680E31CC">
            <w:pPr>
              <w:pStyle w:val="11"/>
              <w:spacing w:before="102" w:line="261" w:lineRule="exact"/>
              <w:ind w:left="534"/>
            </w:pPr>
            <w:r>
              <w:rPr>
                <w:spacing w:val="2"/>
                <w:position w:val="1"/>
              </w:rPr>
              <w:t>/</w:t>
            </w:r>
          </w:p>
        </w:tc>
      </w:tr>
      <w:tr w14:paraId="2FDA33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451CEF81">
            <w:pPr>
              <w:rPr>
                <w:rFonts w:ascii="Arial"/>
                <w:sz w:val="21"/>
              </w:rPr>
            </w:pPr>
          </w:p>
        </w:tc>
        <w:tc>
          <w:tcPr>
            <w:tcW w:w="1363" w:type="dxa"/>
            <w:vMerge w:val="continue"/>
            <w:tcBorders>
              <w:top w:val="nil"/>
              <w:bottom w:val="nil"/>
            </w:tcBorders>
            <w:vAlign w:val="top"/>
          </w:tcPr>
          <w:p w14:paraId="169A6E4D">
            <w:pPr>
              <w:rPr>
                <w:rFonts w:ascii="Arial"/>
                <w:sz w:val="21"/>
              </w:rPr>
            </w:pPr>
          </w:p>
        </w:tc>
        <w:tc>
          <w:tcPr>
            <w:tcW w:w="3953" w:type="dxa"/>
            <w:vAlign w:val="top"/>
          </w:tcPr>
          <w:p w14:paraId="21FE70BA">
            <w:pPr>
              <w:pStyle w:val="11"/>
              <w:spacing w:before="117" w:line="251" w:lineRule="exact"/>
              <w:jc w:val="center"/>
              <w:rPr>
                <w:rFonts w:ascii="仿宋" w:hAnsi="仿宋" w:eastAsia="仿宋" w:cs="仿宋"/>
              </w:rPr>
            </w:pPr>
            <w:r>
              <w:rPr>
                <w:position w:val="1"/>
              </w:rPr>
              <w:t xml:space="preserve">18 </w:t>
            </w:r>
            <w:r>
              <w:rPr>
                <w:rFonts w:ascii="仿宋" w:hAnsi="仿宋" w:eastAsia="仿宋" w:cs="仿宋"/>
                <w:position w:val="1"/>
              </w:rPr>
              <w:t>马力</w:t>
            </w:r>
            <w:r>
              <w:t>≤</w:t>
            </w:r>
            <w:r>
              <w:rPr>
                <w:rFonts w:ascii="仿宋" w:hAnsi="仿宋" w:eastAsia="仿宋" w:cs="仿宋"/>
                <w:position w:val="1"/>
              </w:rPr>
              <w:t>功率＜</w:t>
            </w:r>
            <w:r>
              <w:rPr>
                <w:position w:val="1"/>
              </w:rPr>
              <w:t>50</w:t>
            </w:r>
            <w:r>
              <w:rPr>
                <w:spacing w:val="19"/>
                <w:position w:val="1"/>
              </w:rPr>
              <w:t xml:space="preserve"> </w:t>
            </w:r>
            <w:r>
              <w:rPr>
                <w:rFonts w:ascii="仿宋" w:hAnsi="仿宋" w:eastAsia="仿宋" w:cs="仿宋"/>
                <w:position w:val="1"/>
              </w:rPr>
              <w:t>马力自走式喷杆喷雾机</w:t>
            </w:r>
          </w:p>
        </w:tc>
        <w:tc>
          <w:tcPr>
            <w:tcW w:w="1469" w:type="dxa"/>
            <w:vAlign w:val="top"/>
          </w:tcPr>
          <w:p w14:paraId="56845A89">
            <w:pPr>
              <w:pStyle w:val="11"/>
              <w:spacing w:before="164" w:line="195" w:lineRule="auto"/>
              <w:ind w:left="355"/>
            </w:pPr>
            <w:r>
              <w:t>3570</w:t>
            </w:r>
          </w:p>
        </w:tc>
        <w:tc>
          <w:tcPr>
            <w:tcW w:w="1531" w:type="dxa"/>
            <w:vAlign w:val="top"/>
          </w:tcPr>
          <w:p w14:paraId="45B3451B">
            <w:pPr>
              <w:pStyle w:val="11"/>
              <w:spacing w:before="100" w:line="261" w:lineRule="exact"/>
              <w:ind w:left="534"/>
            </w:pPr>
            <w:r>
              <w:rPr>
                <w:spacing w:val="2"/>
                <w:position w:val="1"/>
              </w:rPr>
              <w:t>/</w:t>
            </w:r>
          </w:p>
        </w:tc>
      </w:tr>
      <w:tr w14:paraId="3A2A2A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1279C3E6">
            <w:pPr>
              <w:rPr>
                <w:rFonts w:ascii="Arial"/>
                <w:sz w:val="21"/>
              </w:rPr>
            </w:pPr>
          </w:p>
        </w:tc>
        <w:tc>
          <w:tcPr>
            <w:tcW w:w="1363" w:type="dxa"/>
            <w:vMerge w:val="continue"/>
            <w:tcBorders>
              <w:top w:val="nil"/>
              <w:bottom w:val="nil"/>
            </w:tcBorders>
            <w:vAlign w:val="top"/>
          </w:tcPr>
          <w:p w14:paraId="05A989FC">
            <w:pPr>
              <w:rPr>
                <w:rFonts w:ascii="Arial"/>
                <w:sz w:val="21"/>
              </w:rPr>
            </w:pPr>
          </w:p>
        </w:tc>
        <w:tc>
          <w:tcPr>
            <w:tcW w:w="3953" w:type="dxa"/>
            <w:vAlign w:val="top"/>
          </w:tcPr>
          <w:p w14:paraId="67E229E1">
            <w:pPr>
              <w:pStyle w:val="11"/>
              <w:spacing w:before="117" w:line="256" w:lineRule="exact"/>
              <w:jc w:val="center"/>
              <w:rPr>
                <w:rFonts w:ascii="仿宋" w:hAnsi="仿宋" w:eastAsia="仿宋" w:cs="仿宋"/>
              </w:rPr>
            </w:pPr>
            <w:r>
              <w:rPr>
                <w:rFonts w:ascii="仿宋" w:hAnsi="仿宋" w:eastAsia="仿宋" w:cs="仿宋"/>
                <w:spacing w:val="1"/>
                <w:position w:val="1"/>
              </w:rPr>
              <w:t>功率</w:t>
            </w:r>
            <w:r>
              <w:rPr>
                <w:spacing w:val="1"/>
                <w:position w:val="1"/>
              </w:rPr>
              <w:t xml:space="preserve">≥50 </w:t>
            </w:r>
            <w:r>
              <w:rPr>
                <w:rFonts w:ascii="仿宋" w:hAnsi="仿宋" w:eastAsia="仿宋" w:cs="仿宋"/>
                <w:spacing w:val="1"/>
                <w:position w:val="1"/>
              </w:rPr>
              <w:t>马力自走式喷杆喷雾机</w:t>
            </w:r>
          </w:p>
        </w:tc>
        <w:tc>
          <w:tcPr>
            <w:tcW w:w="1469" w:type="dxa"/>
            <w:vAlign w:val="top"/>
          </w:tcPr>
          <w:p w14:paraId="53FC52DE">
            <w:pPr>
              <w:pStyle w:val="11"/>
              <w:spacing w:before="164" w:line="195" w:lineRule="auto"/>
              <w:ind w:left="350"/>
            </w:pPr>
            <w:r>
              <w:rPr>
                <w:spacing w:val="1"/>
              </w:rPr>
              <w:t>4170</w:t>
            </w:r>
          </w:p>
        </w:tc>
        <w:tc>
          <w:tcPr>
            <w:tcW w:w="1531" w:type="dxa"/>
            <w:vAlign w:val="top"/>
          </w:tcPr>
          <w:p w14:paraId="4C579260">
            <w:pPr>
              <w:pStyle w:val="11"/>
              <w:spacing w:before="100" w:line="261" w:lineRule="exact"/>
              <w:ind w:left="534"/>
            </w:pPr>
            <w:r>
              <w:rPr>
                <w:spacing w:val="2"/>
                <w:position w:val="1"/>
              </w:rPr>
              <w:t>/</w:t>
            </w:r>
          </w:p>
        </w:tc>
      </w:tr>
      <w:tr w14:paraId="0256C2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2F79171C">
            <w:pPr>
              <w:rPr>
                <w:rFonts w:ascii="Arial"/>
                <w:sz w:val="21"/>
              </w:rPr>
            </w:pPr>
          </w:p>
        </w:tc>
        <w:tc>
          <w:tcPr>
            <w:tcW w:w="1363" w:type="dxa"/>
            <w:vMerge w:val="continue"/>
            <w:tcBorders>
              <w:top w:val="nil"/>
              <w:bottom w:val="nil"/>
            </w:tcBorders>
            <w:vAlign w:val="top"/>
          </w:tcPr>
          <w:p w14:paraId="523A79BF">
            <w:pPr>
              <w:rPr>
                <w:rFonts w:ascii="Arial"/>
                <w:sz w:val="21"/>
              </w:rPr>
            </w:pPr>
          </w:p>
        </w:tc>
        <w:tc>
          <w:tcPr>
            <w:tcW w:w="3953" w:type="dxa"/>
            <w:vAlign w:val="top"/>
          </w:tcPr>
          <w:p w14:paraId="4D7D95DE">
            <w:pPr>
              <w:spacing w:before="117" w:line="256" w:lineRule="exact"/>
              <w:jc w:val="center"/>
              <w:rPr>
                <w:rFonts w:ascii="仿宋" w:hAnsi="仿宋" w:eastAsia="仿宋" w:cs="仿宋"/>
                <w:sz w:val="19"/>
                <w:szCs w:val="19"/>
              </w:rPr>
            </w:pPr>
            <w:r>
              <w:rPr>
                <w:rFonts w:ascii="仿宋" w:hAnsi="仿宋" w:eastAsia="仿宋" w:cs="仿宋"/>
                <w:spacing w:val="-1"/>
                <w:position w:val="1"/>
                <w:sz w:val="19"/>
                <w:szCs w:val="19"/>
              </w:rPr>
              <w:t>动力喷雾机</w:t>
            </w:r>
          </w:p>
        </w:tc>
        <w:tc>
          <w:tcPr>
            <w:tcW w:w="1469" w:type="dxa"/>
            <w:vAlign w:val="top"/>
          </w:tcPr>
          <w:p w14:paraId="7DC88623">
            <w:pPr>
              <w:pStyle w:val="11"/>
              <w:spacing w:before="164" w:line="195" w:lineRule="auto"/>
              <w:ind w:left="455"/>
            </w:pPr>
            <w:r>
              <w:rPr>
                <w:spacing w:val="-3"/>
              </w:rPr>
              <w:t>80</w:t>
            </w:r>
          </w:p>
        </w:tc>
        <w:tc>
          <w:tcPr>
            <w:tcW w:w="1531" w:type="dxa"/>
            <w:vAlign w:val="top"/>
          </w:tcPr>
          <w:p w14:paraId="35973EE3">
            <w:pPr>
              <w:pStyle w:val="11"/>
              <w:spacing w:before="100" w:line="262" w:lineRule="exact"/>
              <w:ind w:left="534"/>
            </w:pPr>
            <w:r>
              <w:rPr>
                <w:spacing w:val="2"/>
                <w:position w:val="1"/>
              </w:rPr>
              <w:t>/</w:t>
            </w:r>
          </w:p>
        </w:tc>
      </w:tr>
      <w:tr w14:paraId="4D2664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tcBorders>
            <w:vAlign w:val="top"/>
          </w:tcPr>
          <w:p w14:paraId="748330C8">
            <w:pPr>
              <w:rPr>
                <w:rFonts w:ascii="Arial"/>
                <w:sz w:val="21"/>
              </w:rPr>
            </w:pPr>
          </w:p>
        </w:tc>
        <w:tc>
          <w:tcPr>
            <w:tcW w:w="1363" w:type="dxa"/>
            <w:vMerge w:val="continue"/>
            <w:tcBorders>
              <w:top w:val="nil"/>
            </w:tcBorders>
            <w:vAlign w:val="top"/>
          </w:tcPr>
          <w:p w14:paraId="065AAC71">
            <w:pPr>
              <w:rPr>
                <w:rFonts w:ascii="Arial"/>
                <w:sz w:val="21"/>
              </w:rPr>
            </w:pPr>
          </w:p>
        </w:tc>
        <w:tc>
          <w:tcPr>
            <w:tcW w:w="3953" w:type="dxa"/>
            <w:vAlign w:val="top"/>
          </w:tcPr>
          <w:p w14:paraId="3E7FFEFB">
            <w:pPr>
              <w:spacing w:before="117" w:line="253" w:lineRule="exact"/>
              <w:jc w:val="center"/>
              <w:rPr>
                <w:rFonts w:ascii="仿宋" w:hAnsi="仿宋" w:eastAsia="仿宋" w:cs="仿宋"/>
                <w:sz w:val="19"/>
                <w:szCs w:val="19"/>
              </w:rPr>
            </w:pPr>
            <w:r>
              <w:rPr>
                <w:rFonts w:ascii="仿宋" w:hAnsi="仿宋" w:eastAsia="仿宋" w:cs="仿宋"/>
                <w:spacing w:val="-2"/>
                <w:position w:val="1"/>
                <w:sz w:val="19"/>
                <w:szCs w:val="19"/>
              </w:rPr>
              <w:t>自走式喷雾机（不含三轮机型）</w:t>
            </w:r>
          </w:p>
        </w:tc>
        <w:tc>
          <w:tcPr>
            <w:tcW w:w="1469" w:type="dxa"/>
            <w:vAlign w:val="top"/>
          </w:tcPr>
          <w:p w14:paraId="3B1C47D0">
            <w:pPr>
              <w:pStyle w:val="11"/>
              <w:spacing w:before="164" w:line="195" w:lineRule="auto"/>
              <w:ind w:left="407"/>
            </w:pPr>
            <w:r>
              <w:rPr>
                <w:spacing w:val="-2"/>
              </w:rPr>
              <w:t>840</w:t>
            </w:r>
          </w:p>
        </w:tc>
        <w:tc>
          <w:tcPr>
            <w:tcW w:w="1531" w:type="dxa"/>
            <w:vAlign w:val="top"/>
          </w:tcPr>
          <w:p w14:paraId="1CAA0086">
            <w:pPr>
              <w:pStyle w:val="11"/>
              <w:spacing w:before="101" w:line="261" w:lineRule="exact"/>
              <w:ind w:left="534"/>
            </w:pPr>
            <w:r>
              <w:rPr>
                <w:spacing w:val="2"/>
                <w:position w:val="1"/>
              </w:rPr>
              <w:t>/</w:t>
            </w:r>
          </w:p>
        </w:tc>
      </w:tr>
      <w:tr w14:paraId="49AA1D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restart"/>
            <w:tcBorders>
              <w:bottom w:val="nil"/>
            </w:tcBorders>
            <w:vAlign w:val="top"/>
          </w:tcPr>
          <w:p w14:paraId="78A5C099">
            <w:pPr>
              <w:spacing w:line="286" w:lineRule="auto"/>
              <w:rPr>
                <w:rFonts w:ascii="Arial"/>
                <w:sz w:val="21"/>
              </w:rPr>
            </w:pPr>
          </w:p>
          <w:p w14:paraId="6BD24686">
            <w:pPr>
              <w:spacing w:line="286" w:lineRule="auto"/>
              <w:rPr>
                <w:rFonts w:ascii="Arial"/>
                <w:sz w:val="21"/>
              </w:rPr>
            </w:pPr>
          </w:p>
          <w:p w14:paraId="2C64A84E">
            <w:pPr>
              <w:pStyle w:val="11"/>
              <w:spacing w:before="55" w:line="192" w:lineRule="auto"/>
              <w:ind w:left="325"/>
            </w:pPr>
            <w:r>
              <w:t>7</w:t>
            </w:r>
          </w:p>
        </w:tc>
        <w:tc>
          <w:tcPr>
            <w:tcW w:w="1363" w:type="dxa"/>
            <w:vMerge w:val="restart"/>
            <w:tcBorders>
              <w:bottom w:val="nil"/>
            </w:tcBorders>
            <w:vAlign w:val="top"/>
          </w:tcPr>
          <w:p w14:paraId="285FB877">
            <w:pPr>
              <w:spacing w:line="337" w:lineRule="auto"/>
              <w:rPr>
                <w:rFonts w:ascii="Arial"/>
                <w:sz w:val="21"/>
              </w:rPr>
            </w:pPr>
          </w:p>
          <w:p w14:paraId="17717C1D">
            <w:pPr>
              <w:spacing w:before="61" w:line="330" w:lineRule="auto"/>
              <w:ind w:left="465" w:right="98" w:hanging="349"/>
              <w:rPr>
                <w:rFonts w:ascii="仿宋" w:hAnsi="仿宋" w:eastAsia="仿宋" w:cs="仿宋"/>
                <w:sz w:val="19"/>
                <w:szCs w:val="19"/>
              </w:rPr>
            </w:pPr>
            <w:r>
              <w:rPr>
                <w:rFonts w:ascii="仿宋" w:hAnsi="仿宋" w:eastAsia="仿宋" w:cs="仿宋"/>
                <w:spacing w:val="-10"/>
                <w:sz w:val="19"/>
                <w:szCs w:val="19"/>
              </w:rPr>
              <w:t>饲料（草）粉</w:t>
            </w:r>
            <w:r>
              <w:rPr>
                <w:rFonts w:ascii="仿宋" w:hAnsi="仿宋" w:eastAsia="仿宋" w:cs="仿宋"/>
                <w:spacing w:val="1"/>
                <w:sz w:val="19"/>
                <w:szCs w:val="19"/>
              </w:rPr>
              <w:t xml:space="preserve"> </w:t>
            </w:r>
            <w:r>
              <w:rPr>
                <w:rFonts w:ascii="仿宋" w:hAnsi="仿宋" w:eastAsia="仿宋" w:cs="仿宋"/>
                <w:sz w:val="19"/>
                <w:szCs w:val="19"/>
              </w:rPr>
              <w:t>碎机</w:t>
            </w:r>
          </w:p>
        </w:tc>
        <w:tc>
          <w:tcPr>
            <w:tcW w:w="3953" w:type="dxa"/>
            <w:vAlign w:val="top"/>
          </w:tcPr>
          <w:p w14:paraId="5570FA41">
            <w:pPr>
              <w:pStyle w:val="11"/>
              <w:spacing w:before="117" w:line="253" w:lineRule="exact"/>
              <w:jc w:val="center"/>
              <w:rPr>
                <w:rFonts w:ascii="仿宋" w:hAnsi="仿宋" w:eastAsia="仿宋" w:cs="仿宋"/>
              </w:rPr>
            </w:pPr>
            <w:r>
              <w:rPr>
                <w:rFonts w:ascii="仿宋" w:hAnsi="仿宋" w:eastAsia="仿宋" w:cs="仿宋"/>
                <w:spacing w:val="1"/>
                <w:position w:val="1"/>
              </w:rPr>
              <w:t>转子直径＜</w:t>
            </w:r>
            <w:r>
              <w:rPr>
                <w:spacing w:val="1"/>
              </w:rPr>
              <w:t>400</w:t>
            </w:r>
            <w:r>
              <w:t>mm</w:t>
            </w:r>
            <w:r>
              <w:rPr>
                <w:spacing w:val="1"/>
              </w:rPr>
              <w:t xml:space="preserve"> </w:t>
            </w:r>
            <w:r>
              <w:rPr>
                <w:rFonts w:ascii="仿宋" w:hAnsi="仿宋" w:eastAsia="仿宋" w:cs="仿宋"/>
                <w:spacing w:val="1"/>
                <w:position w:val="1"/>
              </w:rPr>
              <w:t>饲料粉碎机</w:t>
            </w:r>
          </w:p>
        </w:tc>
        <w:tc>
          <w:tcPr>
            <w:tcW w:w="1469" w:type="dxa"/>
            <w:vAlign w:val="top"/>
          </w:tcPr>
          <w:p w14:paraId="309D9954">
            <w:pPr>
              <w:pStyle w:val="11"/>
              <w:spacing w:before="165" w:line="195" w:lineRule="auto"/>
              <w:ind w:left="451"/>
            </w:pPr>
            <w:r>
              <w:rPr>
                <w:spacing w:val="-1"/>
              </w:rPr>
              <w:t>90</w:t>
            </w:r>
          </w:p>
        </w:tc>
        <w:tc>
          <w:tcPr>
            <w:tcW w:w="1531" w:type="dxa"/>
            <w:vAlign w:val="top"/>
          </w:tcPr>
          <w:p w14:paraId="683FF14F">
            <w:pPr>
              <w:pStyle w:val="11"/>
              <w:spacing w:before="101" w:line="261" w:lineRule="exact"/>
              <w:ind w:left="534"/>
            </w:pPr>
            <w:r>
              <w:rPr>
                <w:spacing w:val="2"/>
                <w:position w:val="1"/>
              </w:rPr>
              <w:t>/</w:t>
            </w:r>
          </w:p>
        </w:tc>
      </w:tr>
      <w:tr w14:paraId="23BEED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739" w:type="dxa"/>
            <w:vMerge w:val="continue"/>
            <w:tcBorders>
              <w:top w:val="nil"/>
              <w:bottom w:val="nil"/>
            </w:tcBorders>
            <w:vAlign w:val="top"/>
          </w:tcPr>
          <w:p w14:paraId="62C07A8F">
            <w:pPr>
              <w:rPr>
                <w:rFonts w:ascii="Arial"/>
                <w:sz w:val="21"/>
              </w:rPr>
            </w:pPr>
          </w:p>
        </w:tc>
        <w:tc>
          <w:tcPr>
            <w:tcW w:w="1363" w:type="dxa"/>
            <w:vMerge w:val="continue"/>
            <w:tcBorders>
              <w:top w:val="nil"/>
              <w:bottom w:val="nil"/>
            </w:tcBorders>
            <w:vAlign w:val="top"/>
          </w:tcPr>
          <w:p w14:paraId="71529AE6">
            <w:pPr>
              <w:rPr>
                <w:rFonts w:ascii="Arial"/>
                <w:sz w:val="21"/>
              </w:rPr>
            </w:pPr>
          </w:p>
        </w:tc>
        <w:tc>
          <w:tcPr>
            <w:tcW w:w="3953" w:type="dxa"/>
            <w:vAlign w:val="top"/>
          </w:tcPr>
          <w:p w14:paraId="7A68A823">
            <w:pPr>
              <w:pStyle w:val="11"/>
              <w:spacing w:before="118" w:line="252" w:lineRule="exact"/>
              <w:jc w:val="center"/>
              <w:rPr>
                <w:rFonts w:ascii="仿宋" w:hAnsi="仿宋" w:eastAsia="仿宋" w:cs="仿宋"/>
              </w:rPr>
            </w:pPr>
            <w:r>
              <w:rPr>
                <w:spacing w:val="2"/>
                <w:position w:val="1"/>
              </w:rPr>
              <w:t>400</w:t>
            </w:r>
            <w:r>
              <w:rPr>
                <w:position w:val="1"/>
              </w:rPr>
              <w:t>mm</w:t>
            </w:r>
            <w:r>
              <w:rPr>
                <w:spacing w:val="2"/>
                <w:position w:val="1"/>
              </w:rPr>
              <w:t>≤</w:t>
            </w:r>
            <w:r>
              <w:rPr>
                <w:rFonts w:ascii="仿宋" w:hAnsi="仿宋" w:eastAsia="仿宋" w:cs="仿宋"/>
                <w:spacing w:val="2"/>
                <w:position w:val="1"/>
              </w:rPr>
              <w:t>转子直径＜</w:t>
            </w:r>
            <w:r>
              <w:rPr>
                <w:spacing w:val="2"/>
                <w:position w:val="1"/>
              </w:rPr>
              <w:t>550</w:t>
            </w:r>
            <w:r>
              <w:rPr>
                <w:position w:val="1"/>
              </w:rPr>
              <w:t>mm</w:t>
            </w:r>
            <w:r>
              <w:rPr>
                <w:spacing w:val="2"/>
                <w:position w:val="1"/>
              </w:rPr>
              <w:t xml:space="preserve"> </w:t>
            </w:r>
            <w:r>
              <w:rPr>
                <w:rFonts w:ascii="仿宋" w:hAnsi="仿宋" w:eastAsia="仿宋" w:cs="仿宋"/>
                <w:spacing w:val="2"/>
                <w:position w:val="1"/>
              </w:rPr>
              <w:t>饲料粉碎机</w:t>
            </w:r>
          </w:p>
        </w:tc>
        <w:tc>
          <w:tcPr>
            <w:tcW w:w="1469" w:type="dxa"/>
            <w:vAlign w:val="top"/>
          </w:tcPr>
          <w:p w14:paraId="75D863E8">
            <w:pPr>
              <w:pStyle w:val="11"/>
              <w:spacing w:before="165" w:line="195" w:lineRule="auto"/>
              <w:ind w:left="419"/>
            </w:pPr>
            <w:r>
              <w:rPr>
                <w:spacing w:val="-5"/>
              </w:rPr>
              <w:t>190</w:t>
            </w:r>
          </w:p>
        </w:tc>
        <w:tc>
          <w:tcPr>
            <w:tcW w:w="1531" w:type="dxa"/>
            <w:vAlign w:val="top"/>
          </w:tcPr>
          <w:p w14:paraId="08BA8937">
            <w:pPr>
              <w:pStyle w:val="11"/>
              <w:spacing w:before="101" w:line="261" w:lineRule="exact"/>
              <w:ind w:left="534"/>
            </w:pPr>
            <w:r>
              <w:rPr>
                <w:spacing w:val="2"/>
                <w:position w:val="1"/>
              </w:rPr>
              <w:t>/</w:t>
            </w:r>
          </w:p>
        </w:tc>
      </w:tr>
      <w:tr w14:paraId="35FFF9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tcBorders>
            <w:vAlign w:val="top"/>
          </w:tcPr>
          <w:p w14:paraId="0C4EBCBC">
            <w:pPr>
              <w:rPr>
                <w:rFonts w:ascii="Arial"/>
                <w:sz w:val="21"/>
              </w:rPr>
            </w:pPr>
          </w:p>
        </w:tc>
        <w:tc>
          <w:tcPr>
            <w:tcW w:w="1363" w:type="dxa"/>
            <w:vMerge w:val="continue"/>
            <w:tcBorders>
              <w:top w:val="nil"/>
            </w:tcBorders>
            <w:vAlign w:val="top"/>
          </w:tcPr>
          <w:p w14:paraId="55259A34">
            <w:pPr>
              <w:rPr>
                <w:rFonts w:ascii="Arial"/>
                <w:sz w:val="21"/>
              </w:rPr>
            </w:pPr>
          </w:p>
        </w:tc>
        <w:tc>
          <w:tcPr>
            <w:tcW w:w="3953" w:type="dxa"/>
            <w:vAlign w:val="top"/>
          </w:tcPr>
          <w:p w14:paraId="45627FC6">
            <w:pPr>
              <w:pStyle w:val="11"/>
              <w:spacing w:before="119" w:line="252" w:lineRule="exact"/>
              <w:jc w:val="center"/>
              <w:rPr>
                <w:rFonts w:ascii="仿宋" w:hAnsi="仿宋" w:eastAsia="仿宋" w:cs="仿宋"/>
              </w:rPr>
            </w:pPr>
            <w:r>
              <w:rPr>
                <w:rFonts w:ascii="仿宋" w:hAnsi="仿宋" w:eastAsia="仿宋" w:cs="仿宋"/>
                <w:spacing w:val="1"/>
                <w:position w:val="1"/>
              </w:rPr>
              <w:t>转子直径</w:t>
            </w:r>
            <w:r>
              <w:rPr>
                <w:spacing w:val="1"/>
                <w:position w:val="1"/>
              </w:rPr>
              <w:t>≥550</w:t>
            </w:r>
            <w:r>
              <w:rPr>
                <w:position w:val="1"/>
              </w:rPr>
              <w:t>mm</w:t>
            </w:r>
            <w:r>
              <w:rPr>
                <w:spacing w:val="1"/>
                <w:position w:val="1"/>
              </w:rPr>
              <w:t xml:space="preserve">  </w:t>
            </w:r>
            <w:r>
              <w:rPr>
                <w:rFonts w:ascii="仿宋" w:hAnsi="仿宋" w:eastAsia="仿宋" w:cs="仿宋"/>
                <w:spacing w:val="1"/>
                <w:position w:val="1"/>
              </w:rPr>
              <w:t>饲料粉碎机</w:t>
            </w:r>
          </w:p>
        </w:tc>
        <w:tc>
          <w:tcPr>
            <w:tcW w:w="1469" w:type="dxa"/>
            <w:vAlign w:val="top"/>
          </w:tcPr>
          <w:p w14:paraId="56D7741F">
            <w:pPr>
              <w:pStyle w:val="11"/>
              <w:spacing w:before="166" w:line="195" w:lineRule="auto"/>
              <w:ind w:left="399"/>
            </w:pPr>
            <w:r>
              <w:rPr>
                <w:spacing w:val="1"/>
              </w:rPr>
              <w:t>220</w:t>
            </w:r>
          </w:p>
        </w:tc>
        <w:tc>
          <w:tcPr>
            <w:tcW w:w="1531" w:type="dxa"/>
            <w:vAlign w:val="top"/>
          </w:tcPr>
          <w:p w14:paraId="54296CA7">
            <w:pPr>
              <w:pStyle w:val="11"/>
              <w:spacing w:before="102" w:line="261" w:lineRule="exact"/>
              <w:ind w:left="534"/>
            </w:pPr>
            <w:r>
              <w:rPr>
                <w:spacing w:val="2"/>
                <w:position w:val="1"/>
              </w:rPr>
              <w:t>/</w:t>
            </w:r>
          </w:p>
        </w:tc>
      </w:tr>
      <w:tr w14:paraId="69DA00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restart"/>
            <w:tcBorders>
              <w:bottom w:val="nil"/>
            </w:tcBorders>
            <w:vAlign w:val="top"/>
          </w:tcPr>
          <w:p w14:paraId="29683F76">
            <w:pPr>
              <w:spacing w:line="252" w:lineRule="auto"/>
              <w:rPr>
                <w:rFonts w:ascii="Arial"/>
                <w:sz w:val="21"/>
              </w:rPr>
            </w:pPr>
          </w:p>
          <w:p w14:paraId="235BF518">
            <w:pPr>
              <w:spacing w:line="252" w:lineRule="auto"/>
              <w:rPr>
                <w:rFonts w:ascii="Arial"/>
                <w:sz w:val="21"/>
              </w:rPr>
            </w:pPr>
          </w:p>
          <w:p w14:paraId="3F3454E8">
            <w:pPr>
              <w:spacing w:line="252" w:lineRule="auto"/>
              <w:rPr>
                <w:rFonts w:ascii="Arial"/>
                <w:sz w:val="21"/>
              </w:rPr>
            </w:pPr>
          </w:p>
          <w:p w14:paraId="2D68FCB0">
            <w:pPr>
              <w:spacing w:line="252" w:lineRule="auto"/>
              <w:rPr>
                <w:rFonts w:ascii="Arial"/>
                <w:sz w:val="21"/>
              </w:rPr>
            </w:pPr>
          </w:p>
          <w:p w14:paraId="6427AFB8">
            <w:pPr>
              <w:spacing w:line="253" w:lineRule="auto"/>
              <w:rPr>
                <w:rFonts w:ascii="Arial"/>
                <w:sz w:val="21"/>
              </w:rPr>
            </w:pPr>
          </w:p>
          <w:p w14:paraId="52A410E9">
            <w:pPr>
              <w:pStyle w:val="11"/>
              <w:spacing w:before="54" w:line="195" w:lineRule="auto"/>
              <w:ind w:left="330"/>
            </w:pPr>
            <w:r>
              <w:t>8</w:t>
            </w:r>
          </w:p>
        </w:tc>
        <w:tc>
          <w:tcPr>
            <w:tcW w:w="1363" w:type="dxa"/>
            <w:vMerge w:val="restart"/>
            <w:tcBorders>
              <w:bottom w:val="nil"/>
            </w:tcBorders>
            <w:vAlign w:val="top"/>
          </w:tcPr>
          <w:p w14:paraId="7FA8A385">
            <w:pPr>
              <w:spacing w:line="241" w:lineRule="auto"/>
              <w:rPr>
                <w:rFonts w:ascii="Arial"/>
                <w:sz w:val="21"/>
              </w:rPr>
            </w:pPr>
          </w:p>
          <w:p w14:paraId="5D042D4E">
            <w:pPr>
              <w:spacing w:line="241" w:lineRule="auto"/>
              <w:rPr>
                <w:rFonts w:ascii="Arial"/>
                <w:sz w:val="21"/>
              </w:rPr>
            </w:pPr>
          </w:p>
          <w:p w14:paraId="3BF569D0">
            <w:pPr>
              <w:spacing w:line="241" w:lineRule="auto"/>
              <w:rPr>
                <w:rFonts w:ascii="Arial"/>
                <w:sz w:val="21"/>
              </w:rPr>
            </w:pPr>
          </w:p>
          <w:p w14:paraId="50778E06">
            <w:pPr>
              <w:spacing w:line="242" w:lineRule="auto"/>
              <w:rPr>
                <w:rFonts w:ascii="Arial"/>
                <w:sz w:val="21"/>
              </w:rPr>
            </w:pPr>
          </w:p>
          <w:p w14:paraId="01F7E33D">
            <w:pPr>
              <w:spacing w:line="242" w:lineRule="auto"/>
              <w:rPr>
                <w:rFonts w:ascii="Arial"/>
                <w:sz w:val="21"/>
              </w:rPr>
            </w:pPr>
          </w:p>
          <w:p w14:paraId="6C63FB6A">
            <w:pPr>
              <w:spacing w:before="61" w:line="256" w:lineRule="exact"/>
              <w:ind w:left="371"/>
              <w:rPr>
                <w:rFonts w:ascii="仿宋" w:hAnsi="仿宋" w:eastAsia="仿宋" w:cs="仿宋"/>
                <w:sz w:val="19"/>
                <w:szCs w:val="19"/>
              </w:rPr>
            </w:pPr>
            <w:r>
              <w:rPr>
                <w:rFonts w:ascii="仿宋" w:hAnsi="仿宋" w:eastAsia="仿宋" w:cs="仿宋"/>
                <w:position w:val="1"/>
                <w:sz w:val="19"/>
                <w:szCs w:val="19"/>
              </w:rPr>
              <w:t>铡草机</w:t>
            </w:r>
          </w:p>
        </w:tc>
        <w:tc>
          <w:tcPr>
            <w:tcW w:w="3953" w:type="dxa"/>
            <w:vAlign w:val="top"/>
          </w:tcPr>
          <w:p w14:paraId="66123C71">
            <w:pPr>
              <w:pStyle w:val="11"/>
              <w:spacing w:before="102" w:line="262" w:lineRule="exact"/>
              <w:jc w:val="center"/>
            </w:pPr>
            <w:r>
              <w:rPr>
                <w:spacing w:val="-1"/>
                <w:position w:val="1"/>
              </w:rPr>
              <w:t>1t/h≤</w:t>
            </w:r>
            <w:r>
              <w:rPr>
                <w:rFonts w:ascii="仿宋" w:hAnsi="仿宋" w:eastAsia="仿宋" w:cs="仿宋"/>
                <w:spacing w:val="-1"/>
                <w:position w:val="1"/>
              </w:rPr>
              <w:t>生产率</w:t>
            </w:r>
            <w:r>
              <w:rPr>
                <w:spacing w:val="-1"/>
                <w:position w:val="1"/>
              </w:rPr>
              <w:t>&lt;3t/h</w:t>
            </w:r>
          </w:p>
        </w:tc>
        <w:tc>
          <w:tcPr>
            <w:tcW w:w="1469" w:type="dxa"/>
            <w:vAlign w:val="top"/>
          </w:tcPr>
          <w:p w14:paraId="06C1522F">
            <w:pPr>
              <w:pStyle w:val="11"/>
              <w:spacing w:before="166" w:line="195" w:lineRule="auto"/>
              <w:ind w:left="451"/>
            </w:pPr>
            <w:r>
              <w:rPr>
                <w:spacing w:val="-1"/>
              </w:rPr>
              <w:t>90</w:t>
            </w:r>
          </w:p>
        </w:tc>
        <w:tc>
          <w:tcPr>
            <w:tcW w:w="1531" w:type="dxa"/>
            <w:vAlign w:val="top"/>
          </w:tcPr>
          <w:p w14:paraId="714BE1C6">
            <w:pPr>
              <w:pStyle w:val="11"/>
              <w:spacing w:before="102" w:line="262" w:lineRule="exact"/>
              <w:ind w:left="534"/>
            </w:pPr>
            <w:r>
              <w:rPr>
                <w:spacing w:val="2"/>
                <w:position w:val="1"/>
              </w:rPr>
              <w:t>/</w:t>
            </w:r>
          </w:p>
        </w:tc>
      </w:tr>
      <w:tr w14:paraId="4BFB6B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1ACB0014">
            <w:pPr>
              <w:rPr>
                <w:rFonts w:ascii="Arial"/>
                <w:sz w:val="21"/>
              </w:rPr>
            </w:pPr>
          </w:p>
        </w:tc>
        <w:tc>
          <w:tcPr>
            <w:tcW w:w="1363" w:type="dxa"/>
            <w:vMerge w:val="continue"/>
            <w:tcBorders>
              <w:top w:val="nil"/>
              <w:bottom w:val="nil"/>
            </w:tcBorders>
            <w:vAlign w:val="top"/>
          </w:tcPr>
          <w:p w14:paraId="07296AA5">
            <w:pPr>
              <w:rPr>
                <w:rFonts w:ascii="Arial"/>
                <w:sz w:val="21"/>
              </w:rPr>
            </w:pPr>
          </w:p>
        </w:tc>
        <w:tc>
          <w:tcPr>
            <w:tcW w:w="3953" w:type="dxa"/>
            <w:vAlign w:val="top"/>
          </w:tcPr>
          <w:p w14:paraId="045AF6B9">
            <w:pPr>
              <w:pStyle w:val="11"/>
              <w:spacing w:before="103" w:line="261" w:lineRule="exact"/>
              <w:jc w:val="center"/>
            </w:pPr>
            <w:r>
              <w:rPr>
                <w:position w:val="1"/>
              </w:rPr>
              <w:t>3t/h≤</w:t>
            </w:r>
            <w:r>
              <w:rPr>
                <w:rFonts w:ascii="仿宋" w:hAnsi="仿宋" w:eastAsia="仿宋" w:cs="仿宋"/>
                <w:position w:val="1"/>
              </w:rPr>
              <w:t>生产率</w:t>
            </w:r>
            <w:r>
              <w:rPr>
                <w:position w:val="1"/>
              </w:rPr>
              <w:t>&lt;6t/h</w:t>
            </w:r>
          </w:p>
        </w:tc>
        <w:tc>
          <w:tcPr>
            <w:tcW w:w="1469" w:type="dxa"/>
            <w:vAlign w:val="top"/>
          </w:tcPr>
          <w:p w14:paraId="32D1FA23">
            <w:pPr>
              <w:pStyle w:val="11"/>
              <w:spacing w:before="166" w:line="195" w:lineRule="auto"/>
              <w:ind w:left="419"/>
            </w:pPr>
            <w:r>
              <w:rPr>
                <w:spacing w:val="-5"/>
              </w:rPr>
              <w:t>150</w:t>
            </w:r>
          </w:p>
        </w:tc>
        <w:tc>
          <w:tcPr>
            <w:tcW w:w="1531" w:type="dxa"/>
            <w:vAlign w:val="top"/>
          </w:tcPr>
          <w:p w14:paraId="38F00F2B">
            <w:pPr>
              <w:pStyle w:val="11"/>
              <w:spacing w:before="103" w:line="261" w:lineRule="exact"/>
              <w:ind w:left="534"/>
            </w:pPr>
            <w:r>
              <w:rPr>
                <w:spacing w:val="2"/>
                <w:position w:val="1"/>
              </w:rPr>
              <w:t>/</w:t>
            </w:r>
          </w:p>
        </w:tc>
      </w:tr>
      <w:tr w14:paraId="0C7D0D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7" w:hRule="atLeast"/>
        </w:trPr>
        <w:tc>
          <w:tcPr>
            <w:tcW w:w="739" w:type="dxa"/>
            <w:vMerge w:val="continue"/>
            <w:tcBorders>
              <w:top w:val="nil"/>
              <w:bottom w:val="nil"/>
            </w:tcBorders>
            <w:vAlign w:val="top"/>
          </w:tcPr>
          <w:p w14:paraId="4456A58F">
            <w:pPr>
              <w:rPr>
                <w:rFonts w:ascii="Arial"/>
                <w:sz w:val="21"/>
              </w:rPr>
            </w:pPr>
          </w:p>
        </w:tc>
        <w:tc>
          <w:tcPr>
            <w:tcW w:w="1363" w:type="dxa"/>
            <w:vMerge w:val="continue"/>
            <w:tcBorders>
              <w:top w:val="nil"/>
              <w:bottom w:val="nil"/>
            </w:tcBorders>
            <w:vAlign w:val="top"/>
          </w:tcPr>
          <w:p w14:paraId="7E251F34">
            <w:pPr>
              <w:rPr>
                <w:rFonts w:ascii="Arial"/>
                <w:sz w:val="21"/>
              </w:rPr>
            </w:pPr>
          </w:p>
        </w:tc>
        <w:tc>
          <w:tcPr>
            <w:tcW w:w="3953" w:type="dxa"/>
            <w:vAlign w:val="top"/>
          </w:tcPr>
          <w:p w14:paraId="3A08BD4D">
            <w:pPr>
              <w:pStyle w:val="11"/>
              <w:spacing w:before="103" w:line="261" w:lineRule="exact"/>
              <w:jc w:val="center"/>
            </w:pPr>
            <w:r>
              <w:rPr>
                <w:position w:val="1"/>
              </w:rPr>
              <w:t>6t/h≤</w:t>
            </w:r>
            <w:r>
              <w:rPr>
                <w:rFonts w:ascii="仿宋" w:hAnsi="仿宋" w:eastAsia="仿宋" w:cs="仿宋"/>
                <w:position w:val="1"/>
              </w:rPr>
              <w:t>生产率</w:t>
            </w:r>
            <w:r>
              <w:rPr>
                <w:position w:val="1"/>
              </w:rPr>
              <w:t>&lt;9t/h</w:t>
            </w:r>
          </w:p>
        </w:tc>
        <w:tc>
          <w:tcPr>
            <w:tcW w:w="1469" w:type="dxa"/>
            <w:vAlign w:val="top"/>
          </w:tcPr>
          <w:p w14:paraId="65D26DD4">
            <w:pPr>
              <w:pStyle w:val="11"/>
              <w:spacing w:before="167" w:line="195" w:lineRule="auto"/>
              <w:ind w:left="398"/>
            </w:pPr>
            <w:r>
              <w:rPr>
                <w:spacing w:val="1"/>
              </w:rPr>
              <w:t>410</w:t>
            </w:r>
          </w:p>
        </w:tc>
        <w:tc>
          <w:tcPr>
            <w:tcW w:w="1531" w:type="dxa"/>
            <w:vAlign w:val="top"/>
          </w:tcPr>
          <w:p w14:paraId="1542BF3C">
            <w:pPr>
              <w:pStyle w:val="11"/>
              <w:spacing w:before="103" w:line="261" w:lineRule="exact"/>
              <w:ind w:left="534"/>
            </w:pPr>
            <w:r>
              <w:rPr>
                <w:spacing w:val="2"/>
                <w:position w:val="1"/>
              </w:rPr>
              <w:t>/</w:t>
            </w:r>
          </w:p>
        </w:tc>
      </w:tr>
      <w:tr w14:paraId="497126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4A522329">
            <w:pPr>
              <w:rPr>
                <w:rFonts w:ascii="Arial"/>
                <w:sz w:val="21"/>
              </w:rPr>
            </w:pPr>
          </w:p>
        </w:tc>
        <w:tc>
          <w:tcPr>
            <w:tcW w:w="1363" w:type="dxa"/>
            <w:vMerge w:val="continue"/>
            <w:tcBorders>
              <w:top w:val="nil"/>
              <w:bottom w:val="nil"/>
            </w:tcBorders>
            <w:vAlign w:val="top"/>
          </w:tcPr>
          <w:p w14:paraId="778EE671">
            <w:pPr>
              <w:rPr>
                <w:rFonts w:ascii="Arial"/>
                <w:sz w:val="21"/>
              </w:rPr>
            </w:pPr>
          </w:p>
        </w:tc>
        <w:tc>
          <w:tcPr>
            <w:tcW w:w="3953" w:type="dxa"/>
            <w:vAlign w:val="top"/>
          </w:tcPr>
          <w:p w14:paraId="2E43F254">
            <w:pPr>
              <w:pStyle w:val="11"/>
              <w:spacing w:before="104" w:line="261" w:lineRule="exact"/>
              <w:jc w:val="center"/>
            </w:pPr>
            <w:r>
              <w:rPr>
                <w:position w:val="1"/>
              </w:rPr>
              <w:t>9t/h≤</w:t>
            </w:r>
            <w:r>
              <w:rPr>
                <w:rFonts w:ascii="仿宋" w:hAnsi="仿宋" w:eastAsia="仿宋" w:cs="仿宋"/>
                <w:position w:val="1"/>
              </w:rPr>
              <w:t>生产率</w:t>
            </w:r>
            <w:r>
              <w:rPr>
                <w:position w:val="1"/>
              </w:rPr>
              <w:t>&lt;15t/h</w:t>
            </w:r>
          </w:p>
        </w:tc>
        <w:tc>
          <w:tcPr>
            <w:tcW w:w="1469" w:type="dxa"/>
            <w:vAlign w:val="top"/>
          </w:tcPr>
          <w:p w14:paraId="2EA4EB7B">
            <w:pPr>
              <w:pStyle w:val="11"/>
              <w:spacing w:before="168" w:line="195" w:lineRule="auto"/>
              <w:ind w:left="404"/>
            </w:pPr>
            <w:r>
              <w:t>600</w:t>
            </w:r>
          </w:p>
        </w:tc>
        <w:tc>
          <w:tcPr>
            <w:tcW w:w="1531" w:type="dxa"/>
            <w:vAlign w:val="top"/>
          </w:tcPr>
          <w:p w14:paraId="66B928E4">
            <w:pPr>
              <w:pStyle w:val="11"/>
              <w:spacing w:before="104" w:line="261" w:lineRule="exact"/>
              <w:ind w:left="534"/>
            </w:pPr>
            <w:r>
              <w:rPr>
                <w:spacing w:val="2"/>
                <w:position w:val="1"/>
              </w:rPr>
              <w:t>/</w:t>
            </w:r>
          </w:p>
        </w:tc>
      </w:tr>
      <w:tr w14:paraId="4FDC73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39" w:type="dxa"/>
            <w:vMerge w:val="continue"/>
            <w:tcBorders>
              <w:top w:val="nil"/>
              <w:bottom w:val="nil"/>
            </w:tcBorders>
            <w:vAlign w:val="top"/>
          </w:tcPr>
          <w:p w14:paraId="4D7D8C09">
            <w:pPr>
              <w:rPr>
                <w:rFonts w:ascii="Arial"/>
                <w:sz w:val="21"/>
              </w:rPr>
            </w:pPr>
          </w:p>
        </w:tc>
        <w:tc>
          <w:tcPr>
            <w:tcW w:w="1363" w:type="dxa"/>
            <w:vMerge w:val="continue"/>
            <w:tcBorders>
              <w:top w:val="nil"/>
              <w:bottom w:val="nil"/>
            </w:tcBorders>
            <w:vAlign w:val="top"/>
          </w:tcPr>
          <w:p w14:paraId="17834759">
            <w:pPr>
              <w:rPr>
                <w:rFonts w:ascii="Arial"/>
                <w:sz w:val="21"/>
              </w:rPr>
            </w:pPr>
          </w:p>
        </w:tc>
        <w:tc>
          <w:tcPr>
            <w:tcW w:w="3953" w:type="dxa"/>
            <w:vAlign w:val="top"/>
          </w:tcPr>
          <w:p w14:paraId="3D99E4B5">
            <w:pPr>
              <w:pStyle w:val="11"/>
              <w:spacing w:before="104" w:line="261" w:lineRule="exact"/>
              <w:jc w:val="center"/>
            </w:pPr>
            <w:r>
              <w:rPr>
                <w:spacing w:val="-1"/>
                <w:position w:val="1"/>
              </w:rPr>
              <w:t>15t/h≤</w:t>
            </w:r>
            <w:r>
              <w:rPr>
                <w:rFonts w:ascii="仿宋" w:hAnsi="仿宋" w:eastAsia="仿宋" w:cs="仿宋"/>
                <w:spacing w:val="-1"/>
                <w:position w:val="1"/>
              </w:rPr>
              <w:t>生产率</w:t>
            </w:r>
            <w:r>
              <w:rPr>
                <w:spacing w:val="-1"/>
                <w:position w:val="1"/>
              </w:rPr>
              <w:t>&lt;20t/h</w:t>
            </w:r>
          </w:p>
        </w:tc>
        <w:tc>
          <w:tcPr>
            <w:tcW w:w="1469" w:type="dxa"/>
            <w:vAlign w:val="top"/>
          </w:tcPr>
          <w:p w14:paraId="2E1D4218">
            <w:pPr>
              <w:pStyle w:val="11"/>
              <w:spacing w:before="168" w:line="195" w:lineRule="auto"/>
              <w:ind w:left="403"/>
            </w:pPr>
            <w:r>
              <w:t>750</w:t>
            </w:r>
          </w:p>
        </w:tc>
        <w:tc>
          <w:tcPr>
            <w:tcW w:w="1531" w:type="dxa"/>
            <w:vAlign w:val="top"/>
          </w:tcPr>
          <w:p w14:paraId="23DEC520">
            <w:pPr>
              <w:pStyle w:val="11"/>
              <w:spacing w:before="104" w:line="261" w:lineRule="exact"/>
              <w:ind w:left="534"/>
            </w:pPr>
            <w:r>
              <w:rPr>
                <w:spacing w:val="2"/>
                <w:position w:val="1"/>
              </w:rPr>
              <w:t>/</w:t>
            </w:r>
          </w:p>
        </w:tc>
      </w:tr>
      <w:tr w14:paraId="0DA1AF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0" w:hRule="atLeast"/>
        </w:trPr>
        <w:tc>
          <w:tcPr>
            <w:tcW w:w="739" w:type="dxa"/>
            <w:vMerge w:val="continue"/>
            <w:tcBorders>
              <w:top w:val="nil"/>
            </w:tcBorders>
            <w:vAlign w:val="top"/>
          </w:tcPr>
          <w:p w14:paraId="598C99CF">
            <w:pPr>
              <w:rPr>
                <w:rFonts w:ascii="Arial"/>
                <w:sz w:val="21"/>
              </w:rPr>
            </w:pPr>
          </w:p>
        </w:tc>
        <w:tc>
          <w:tcPr>
            <w:tcW w:w="1363" w:type="dxa"/>
            <w:vMerge w:val="continue"/>
            <w:tcBorders>
              <w:top w:val="nil"/>
            </w:tcBorders>
            <w:vAlign w:val="top"/>
          </w:tcPr>
          <w:p w14:paraId="6EB09683">
            <w:pPr>
              <w:rPr>
                <w:rFonts w:ascii="Arial"/>
                <w:sz w:val="21"/>
              </w:rPr>
            </w:pPr>
          </w:p>
        </w:tc>
        <w:tc>
          <w:tcPr>
            <w:tcW w:w="3953" w:type="dxa"/>
            <w:vAlign w:val="top"/>
          </w:tcPr>
          <w:p w14:paraId="2DEFF1C0">
            <w:pPr>
              <w:pStyle w:val="11"/>
              <w:spacing w:before="102" w:line="261" w:lineRule="exact"/>
              <w:jc w:val="center"/>
            </w:pPr>
            <w:r>
              <w:rPr>
                <w:rFonts w:ascii="仿宋" w:hAnsi="仿宋" w:eastAsia="仿宋" w:cs="仿宋"/>
                <w:spacing w:val="-2"/>
                <w:position w:val="1"/>
              </w:rPr>
              <w:t>生产率</w:t>
            </w:r>
            <w:r>
              <w:rPr>
                <w:spacing w:val="-2"/>
                <w:position w:val="1"/>
              </w:rPr>
              <w:t>≥20t/h</w:t>
            </w:r>
          </w:p>
        </w:tc>
        <w:tc>
          <w:tcPr>
            <w:tcW w:w="1469" w:type="dxa"/>
            <w:vAlign w:val="top"/>
          </w:tcPr>
          <w:p w14:paraId="13179A37">
            <w:pPr>
              <w:pStyle w:val="11"/>
              <w:spacing w:before="166" w:line="195" w:lineRule="auto"/>
              <w:ind w:left="371"/>
            </w:pPr>
            <w:r>
              <w:rPr>
                <w:spacing w:val="-4"/>
              </w:rPr>
              <w:t>1550</w:t>
            </w:r>
          </w:p>
        </w:tc>
        <w:tc>
          <w:tcPr>
            <w:tcW w:w="1531" w:type="dxa"/>
            <w:vAlign w:val="top"/>
          </w:tcPr>
          <w:p w14:paraId="44368B4E">
            <w:pPr>
              <w:pStyle w:val="11"/>
              <w:spacing w:before="102" w:line="261" w:lineRule="exact"/>
              <w:ind w:left="534"/>
            </w:pPr>
            <w:r>
              <w:rPr>
                <w:spacing w:val="2"/>
                <w:position w:val="1"/>
              </w:rPr>
              <w:t>/</w:t>
            </w:r>
          </w:p>
        </w:tc>
      </w:tr>
    </w:tbl>
    <w:p w14:paraId="58234BE7">
      <w:pPr>
        <w:rPr>
          <w:rFonts w:ascii="宋体" w:hAnsi="宋体" w:eastAsia="宋体" w:cs="宋体"/>
          <w:sz w:val="24"/>
          <w:szCs w:val="24"/>
        </w:rPr>
      </w:pPr>
      <w:r>
        <w:rPr>
          <w:rFonts w:ascii="宋体" w:hAnsi="宋体" w:eastAsia="宋体" w:cs="宋体"/>
          <w:sz w:val="24"/>
          <w:szCs w:val="24"/>
        </w:rPr>
        <w:br w:type="page"/>
      </w:r>
    </w:p>
    <w:p w14:paraId="17D65EEE">
      <w:pPr>
        <w:pStyle w:val="2"/>
      </w:pPr>
    </w:p>
    <w:p w14:paraId="3A0B340C">
      <w:pPr>
        <w:keepNext w:val="0"/>
        <w:keepLines w:val="0"/>
        <w:pageBreakBefore w:val="0"/>
        <w:kinsoku/>
        <w:wordWrap/>
        <w:overflowPunct/>
        <w:topLinePunct w:val="0"/>
        <w:autoSpaceDE/>
        <w:autoSpaceDN/>
        <w:bidi w:val="0"/>
        <w:spacing w:line="520" w:lineRule="exact"/>
        <w:textAlignment w:val="auto"/>
        <w:rPr>
          <w:rFonts w:hint="default" w:ascii="宋体" w:hAnsi="宋体" w:eastAsia="宋体" w:cs="宋体"/>
          <w:sz w:val="24"/>
          <w:szCs w:val="24"/>
          <w:lang w:val="en-US" w:eastAsia="zh-CN"/>
        </w:rPr>
      </w:pPr>
      <w:r>
        <w:rPr>
          <w:rFonts w:hint="eastAsia" w:ascii="黑体" w:hAnsi="黑体" w:eastAsia="黑体" w:cs="黑体"/>
          <w:sz w:val="32"/>
          <w:szCs w:val="32"/>
          <w:lang w:val="en-US" w:eastAsia="zh-CN"/>
        </w:rPr>
        <w:t>附件2</w:t>
      </w:r>
    </w:p>
    <w:p w14:paraId="0CF14E29">
      <w:pPr>
        <w:keepNext w:val="0"/>
        <w:keepLines w:val="0"/>
        <w:pageBreakBefore w:val="0"/>
        <w:kinsoku/>
        <w:wordWrap/>
        <w:overflowPunct/>
        <w:topLinePunct w:val="0"/>
        <w:autoSpaceDE/>
        <w:autoSpaceDN/>
        <w:bidi w:val="0"/>
        <w:spacing w:line="520" w:lineRule="exact"/>
        <w:jc w:val="center"/>
        <w:textAlignment w:val="auto"/>
        <w:rPr>
          <w:rFonts w:ascii="微软雅黑" w:hAnsi="微软雅黑" w:eastAsia="微软雅黑" w:cs="微软雅黑"/>
          <w:spacing w:val="-1"/>
          <w:sz w:val="43"/>
          <w:szCs w:val="43"/>
        </w:rPr>
      </w:pPr>
      <w:r>
        <w:rPr>
          <w:rFonts w:ascii="微软雅黑" w:hAnsi="微软雅黑" w:eastAsia="微软雅黑" w:cs="微软雅黑"/>
          <w:spacing w:val="-1"/>
          <w:sz w:val="43"/>
          <w:szCs w:val="43"/>
        </w:rPr>
        <w:t>江苏省农业机械报废</w:t>
      </w:r>
      <w:r>
        <w:rPr>
          <w:rFonts w:hint="eastAsia" w:ascii="微软雅黑" w:hAnsi="微软雅黑" w:eastAsia="微软雅黑" w:cs="微软雅黑"/>
          <w:spacing w:val="-1"/>
          <w:sz w:val="43"/>
          <w:szCs w:val="43"/>
          <w:lang w:val="en-US" w:eastAsia="zh-CN"/>
        </w:rPr>
        <w:t>使用年限</w:t>
      </w:r>
      <w:r>
        <w:rPr>
          <w:rFonts w:ascii="微软雅黑" w:hAnsi="微软雅黑" w:eastAsia="微软雅黑" w:cs="微软雅黑"/>
          <w:spacing w:val="-1"/>
          <w:sz w:val="43"/>
          <w:szCs w:val="43"/>
        </w:rPr>
        <w:t>一览表</w:t>
      </w:r>
    </w:p>
    <w:p w14:paraId="7CE8B3C4">
      <w:pPr>
        <w:pStyle w:val="2"/>
        <w:rPr>
          <w:rFonts w:ascii="微软雅黑" w:hAnsi="微软雅黑" w:eastAsia="微软雅黑" w:cs="微软雅黑"/>
          <w:spacing w:val="-1"/>
          <w:sz w:val="43"/>
          <w:szCs w:val="43"/>
        </w:rPr>
      </w:pPr>
    </w:p>
    <w:p w14:paraId="43AA99E4">
      <w:pPr>
        <w:rPr>
          <w:rFonts w:ascii="微软雅黑" w:hAnsi="微软雅黑" w:eastAsia="微软雅黑" w:cs="微软雅黑"/>
          <w:spacing w:val="-1"/>
          <w:sz w:val="43"/>
          <w:szCs w:val="43"/>
        </w:rPr>
      </w:pPr>
      <w:r>
        <w:rPr>
          <w:rFonts w:ascii="宋体" w:hAnsi="宋体" w:eastAsia="宋体" w:cs="宋体"/>
          <w:sz w:val="24"/>
          <w:szCs w:val="24"/>
        </w:rPr>
        <w:drawing>
          <wp:anchor distT="0" distB="0" distL="0" distR="0" simplePos="0" relativeHeight="251659264" behindDoc="0" locked="0" layoutInCell="1" allowOverlap="1">
            <wp:simplePos x="0" y="0"/>
            <wp:positionH relativeFrom="column">
              <wp:posOffset>321310</wp:posOffset>
            </wp:positionH>
            <wp:positionV relativeFrom="paragraph">
              <wp:posOffset>-48260</wp:posOffset>
            </wp:positionV>
            <wp:extent cx="5471160" cy="4545330"/>
            <wp:effectExtent l="0" t="0" r="15240" b="7620"/>
            <wp:wrapTopAndBottom/>
            <wp:docPr id="3"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
                    <pic:cNvPicPr>
                      <a:picLocks noChangeAspect="1" noChangeArrowheads="1"/>
                    </pic:cNvPicPr>
                  </pic:nvPicPr>
                  <pic:blipFill>
                    <a:blip r:embed="rId7"/>
                    <a:srcRect/>
                    <a:stretch>
                      <a:fillRect/>
                    </a:stretch>
                  </pic:blipFill>
                  <pic:spPr>
                    <a:xfrm>
                      <a:off x="0" y="0"/>
                      <a:ext cx="5471160" cy="4545330"/>
                    </a:xfrm>
                    <a:prstGeom prst="rect">
                      <a:avLst/>
                    </a:prstGeom>
                    <a:noFill/>
                    <a:ln w="9525">
                      <a:noFill/>
                      <a:miter lim="800000"/>
                      <a:headEnd/>
                      <a:tailEnd/>
                    </a:ln>
                  </pic:spPr>
                </pic:pic>
              </a:graphicData>
            </a:graphic>
          </wp:anchor>
        </w:drawing>
      </w:r>
    </w:p>
    <w:p w14:paraId="6428AD57">
      <w:pPr>
        <w:keepNext w:val="0"/>
        <w:keepLines w:val="0"/>
        <w:pageBreakBefore w:val="0"/>
        <w:kinsoku/>
        <w:wordWrap/>
        <w:overflowPunct/>
        <w:topLinePunct w:val="0"/>
        <w:autoSpaceDE/>
        <w:autoSpaceDN/>
        <w:bidi w:val="0"/>
        <w:adjustRightInd/>
        <w:spacing w:line="560" w:lineRule="exact"/>
        <w:jc w:val="center"/>
        <w:textAlignment w:val="baseline"/>
        <w:rPr>
          <w:rFonts w:hint="eastAsia" w:ascii="Times New Roman" w:hAnsi="Times New Roman" w:eastAsia="方正小标宋简体" w:cs="Times New Roman"/>
          <w:color w:val="auto"/>
          <w:sz w:val="44"/>
          <w:szCs w:val="44"/>
        </w:rPr>
      </w:pPr>
    </w:p>
    <w:p w14:paraId="78F75503">
      <w:pPr>
        <w:rPr>
          <w:rFonts w:hint="eastAsia" w:ascii="Times New Roman" w:hAnsi="Times New Roman" w:eastAsia="方正小标宋简体" w:cs="Times New Roman"/>
          <w:color w:val="auto"/>
          <w:sz w:val="44"/>
          <w:szCs w:val="44"/>
        </w:rPr>
      </w:pPr>
      <w:r>
        <w:rPr>
          <w:rFonts w:hint="eastAsia" w:ascii="Times New Roman" w:hAnsi="Times New Roman" w:eastAsia="方正小标宋简体" w:cs="Times New Roman"/>
          <w:color w:val="auto"/>
          <w:sz w:val="44"/>
          <w:szCs w:val="44"/>
        </w:rPr>
        <w:br w:type="page"/>
      </w:r>
    </w:p>
    <w:p w14:paraId="493AD1AE">
      <w:pPr>
        <w:keepNext w:val="0"/>
        <w:keepLines w:val="0"/>
        <w:pageBreakBefore w:val="0"/>
        <w:kinsoku/>
        <w:wordWrap/>
        <w:overflowPunct/>
        <w:topLinePunct w:val="0"/>
        <w:autoSpaceDE/>
        <w:autoSpaceDN/>
        <w:bidi w:val="0"/>
        <w:adjustRightInd/>
        <w:spacing w:line="560" w:lineRule="exact"/>
        <w:jc w:val="center"/>
        <w:textAlignment w:val="baseline"/>
        <w:rPr>
          <w:rFonts w:hint="eastAsia" w:ascii="Times New Roman" w:hAnsi="Times New Roman" w:eastAsia="方正小标宋简体" w:cs="Times New Roman"/>
          <w:color w:val="auto"/>
          <w:sz w:val="44"/>
          <w:szCs w:val="44"/>
        </w:rPr>
      </w:pPr>
      <w:r>
        <w:rPr>
          <w:rFonts w:hint="eastAsia" w:ascii="Times New Roman" w:hAnsi="Times New Roman" w:eastAsia="方正小标宋简体" w:cs="Times New Roman"/>
          <w:color w:val="auto"/>
          <w:sz w:val="44"/>
          <w:szCs w:val="44"/>
        </w:rPr>
        <w:t>202</w:t>
      </w:r>
      <w:r>
        <w:rPr>
          <w:rFonts w:hint="eastAsia" w:ascii="Times New Roman" w:hAnsi="Times New Roman" w:eastAsia="方正小标宋简体" w:cs="Times New Roman"/>
          <w:color w:val="auto"/>
          <w:sz w:val="44"/>
          <w:szCs w:val="44"/>
          <w:lang w:val="en-US" w:eastAsia="zh-CN"/>
        </w:rPr>
        <w:t>4</w:t>
      </w:r>
      <w:r>
        <w:rPr>
          <w:rFonts w:hint="eastAsia" w:ascii="Times New Roman" w:hAnsi="Times New Roman" w:eastAsia="方正小标宋简体" w:cs="Times New Roman"/>
          <w:color w:val="auto"/>
          <w:sz w:val="44"/>
          <w:szCs w:val="44"/>
        </w:rPr>
        <w:t>年南京市</w:t>
      </w:r>
      <w:r>
        <w:rPr>
          <w:rFonts w:hint="eastAsia" w:ascii="Times New Roman" w:hAnsi="Times New Roman" w:eastAsia="方正小标宋简体" w:cs="Times New Roman"/>
          <w:color w:val="auto"/>
          <w:sz w:val="44"/>
          <w:szCs w:val="44"/>
          <w:lang w:eastAsia="zh-CN"/>
        </w:rPr>
        <w:t>栖霞</w:t>
      </w:r>
      <w:r>
        <w:rPr>
          <w:rFonts w:hint="eastAsia" w:ascii="Times New Roman" w:hAnsi="Times New Roman" w:eastAsia="方正小标宋简体" w:cs="Times New Roman"/>
          <w:color w:val="auto"/>
          <w:sz w:val="44"/>
          <w:szCs w:val="44"/>
        </w:rPr>
        <w:t>区高素质农民培育项目</w:t>
      </w:r>
    </w:p>
    <w:p w14:paraId="49AD4975">
      <w:pPr>
        <w:keepNext w:val="0"/>
        <w:keepLines w:val="0"/>
        <w:pageBreakBefore w:val="0"/>
        <w:kinsoku/>
        <w:wordWrap/>
        <w:overflowPunct/>
        <w:topLinePunct w:val="0"/>
        <w:autoSpaceDE/>
        <w:autoSpaceDN/>
        <w:bidi w:val="0"/>
        <w:adjustRightInd/>
        <w:spacing w:line="560" w:lineRule="exact"/>
        <w:jc w:val="center"/>
        <w:textAlignment w:val="baseline"/>
        <w:rPr>
          <w:rFonts w:hint="eastAsia" w:ascii="Times New Roman" w:hAnsi="Times New Roman" w:eastAsia="方正小标宋简体" w:cs="Times New Roman"/>
          <w:color w:val="auto"/>
          <w:sz w:val="44"/>
          <w:szCs w:val="44"/>
          <w:lang w:eastAsia="zh-CN"/>
        </w:rPr>
      </w:pPr>
      <w:r>
        <w:rPr>
          <w:rFonts w:hint="eastAsia" w:ascii="Times New Roman" w:hAnsi="Times New Roman" w:eastAsia="方正小标宋简体" w:cs="Times New Roman"/>
          <w:color w:val="auto"/>
          <w:sz w:val="44"/>
          <w:szCs w:val="44"/>
        </w:rPr>
        <w:t>实施</w:t>
      </w:r>
      <w:r>
        <w:rPr>
          <w:rFonts w:hint="eastAsia" w:ascii="Times New Roman" w:hAnsi="Times New Roman" w:eastAsia="方正小标宋简体" w:cs="Times New Roman"/>
          <w:color w:val="auto"/>
          <w:sz w:val="44"/>
          <w:szCs w:val="44"/>
          <w:lang w:eastAsia="zh-CN"/>
        </w:rPr>
        <w:t>指导意见</w:t>
      </w:r>
    </w:p>
    <w:p w14:paraId="7AB96CB4">
      <w:pPr>
        <w:keepNext w:val="0"/>
        <w:keepLines w:val="0"/>
        <w:pageBreakBefore w:val="0"/>
        <w:widowControl/>
        <w:kinsoku/>
        <w:wordWrap/>
        <w:overflowPunct/>
        <w:topLinePunct w:val="0"/>
        <w:autoSpaceDE/>
        <w:autoSpaceDN/>
        <w:bidi w:val="0"/>
        <w:adjustRightInd/>
        <w:snapToGrid w:val="0"/>
        <w:spacing w:line="520" w:lineRule="exact"/>
        <w:ind w:firstLine="420" w:firstLineChars="200"/>
        <w:textAlignment w:val="baseline"/>
        <w:rPr>
          <w:rFonts w:hint="eastAsia" w:ascii="Times New Roman" w:hAnsi="Times New Roman" w:eastAsia="方正仿宋_GBK" w:cs="Times New Roman"/>
          <w:color w:val="auto"/>
          <w:sz w:val="32"/>
          <w:szCs w:val="32"/>
          <w:lang w:val="en-US" w:eastAsia="zh-CN"/>
        </w:rPr>
      </w:pPr>
      <w:r>
        <w:rPr>
          <w:color w:val="000000"/>
        </w:rPr>
        <w:t xml:space="preserve"> </w:t>
      </w:r>
      <w:r>
        <w:rPr>
          <w:rFonts w:hint="eastAsia" w:ascii="Times New Roman" w:hAnsi="Times New Roman" w:eastAsia="方正仿宋_GBK" w:cs="Times New Roman"/>
          <w:color w:val="auto"/>
          <w:sz w:val="32"/>
          <w:szCs w:val="32"/>
          <w:lang w:val="en-US" w:eastAsia="zh-CN"/>
        </w:rPr>
        <w:t>根据南京市农业农村局、市财政局《关于下达2024年度第四批省级专项资金的通知》（宁农计〔2024〕45号）文件精神，为完成栖霞区高素质农民培育等相关工作，结合我区实际，现制定2024年南京市栖霞区高素质农民培育项目实施指导意见如下：</w:t>
      </w:r>
    </w:p>
    <w:p w14:paraId="1E14B277">
      <w:pPr>
        <w:keepNext w:val="0"/>
        <w:keepLines w:val="0"/>
        <w:pageBreakBefore w:val="0"/>
        <w:kinsoku/>
        <w:wordWrap/>
        <w:overflowPunct/>
        <w:topLinePunct w:val="0"/>
        <w:autoSpaceDE/>
        <w:autoSpaceDN/>
        <w:bidi w:val="0"/>
        <w:adjustRightInd/>
        <w:spacing w:line="520" w:lineRule="exact"/>
        <w:ind w:firstLine="640" w:firstLineChars="200"/>
        <w:jc w:val="left"/>
        <w:rPr>
          <w:rFonts w:hint="eastAsia" w:ascii="黑体" w:hAnsi="黑体" w:eastAsia="黑体"/>
          <w:sz w:val="32"/>
          <w:szCs w:val="32"/>
        </w:rPr>
      </w:pPr>
      <w:r>
        <w:rPr>
          <w:rFonts w:hint="eastAsia" w:ascii="黑体" w:hAnsi="黑体" w:eastAsia="黑体"/>
          <w:sz w:val="32"/>
          <w:szCs w:val="32"/>
        </w:rPr>
        <w:t>一、实施范围</w:t>
      </w:r>
    </w:p>
    <w:p w14:paraId="21EB6F6F">
      <w:pPr>
        <w:keepNext w:val="0"/>
        <w:keepLines w:val="0"/>
        <w:pageBreakBefore w:val="0"/>
        <w:kinsoku/>
        <w:wordWrap/>
        <w:overflowPunct/>
        <w:topLinePunct w:val="0"/>
        <w:autoSpaceDE/>
        <w:autoSpaceDN/>
        <w:bidi w:val="0"/>
        <w:adjustRightIn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栖霞区八卦洲街道、龙潭街道2个涉农街道所有涉农村（社区）。</w:t>
      </w:r>
    </w:p>
    <w:p w14:paraId="66B79DC1">
      <w:pPr>
        <w:keepNext w:val="0"/>
        <w:keepLines w:val="0"/>
        <w:pageBreakBefore w:val="0"/>
        <w:kinsoku/>
        <w:wordWrap/>
        <w:overflowPunct/>
        <w:topLinePunct w:val="0"/>
        <w:autoSpaceDE/>
        <w:autoSpaceDN/>
        <w:bidi w:val="0"/>
        <w:adjustRightInd/>
        <w:spacing w:line="520" w:lineRule="exact"/>
        <w:ind w:firstLine="640" w:firstLineChars="200"/>
        <w:jc w:val="left"/>
        <w:rPr>
          <w:rFonts w:hint="eastAsia" w:ascii="黑体" w:hAnsi="黑体" w:eastAsia="黑体"/>
          <w:sz w:val="32"/>
          <w:szCs w:val="32"/>
          <w:lang w:eastAsia="zh-CN"/>
        </w:rPr>
      </w:pPr>
      <w:r>
        <w:rPr>
          <w:rFonts w:hint="eastAsia" w:ascii="黑体" w:hAnsi="黑体" w:eastAsia="黑体"/>
          <w:sz w:val="32"/>
          <w:szCs w:val="32"/>
        </w:rPr>
        <w:t>二、实施</w:t>
      </w:r>
      <w:r>
        <w:rPr>
          <w:rFonts w:hint="eastAsia" w:ascii="黑体" w:hAnsi="黑体" w:eastAsia="黑体"/>
          <w:sz w:val="32"/>
          <w:szCs w:val="32"/>
          <w:lang w:val="en-US" w:eastAsia="zh-CN"/>
        </w:rPr>
        <w:t>内容</w:t>
      </w:r>
    </w:p>
    <w:p w14:paraId="0AFB2E8D">
      <w:pPr>
        <w:keepNext w:val="0"/>
        <w:keepLines w:val="0"/>
        <w:pageBreakBefore w:val="0"/>
        <w:kinsoku/>
        <w:wordWrap/>
        <w:overflowPunct/>
        <w:topLinePunct w:val="0"/>
        <w:autoSpaceDE/>
        <w:autoSpaceDN/>
        <w:bidi w:val="0"/>
        <w:adjustRightIn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根据南京市农业农村局《关于印发&lt;2024年南京市“智慧三农”人才工程项目实施指导意见&gt;的通知》等文件精神的要求及栖霞区的实际情况，明确今年任务安排。</w:t>
      </w:r>
    </w:p>
    <w:p w14:paraId="5D6B8B43">
      <w:pPr>
        <w:keepNext w:val="0"/>
        <w:keepLines w:val="0"/>
        <w:pageBreakBefore w:val="0"/>
        <w:kinsoku/>
        <w:wordWrap/>
        <w:overflowPunct/>
        <w:topLinePunct w:val="0"/>
        <w:autoSpaceDE/>
        <w:autoSpaceDN/>
        <w:bidi w:val="0"/>
        <w:adjustRightInd/>
        <w:spacing w:line="520" w:lineRule="exact"/>
        <w:ind w:firstLine="640"/>
        <w:jc w:val="both"/>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开展基层农技推广培训工作，培训基层农技推广人员30人。通过课堂教学、现场观摩、经验交流等方式开展培训。合理设置培训课程，每期培训班培训时间不少于2天。</w:t>
      </w:r>
    </w:p>
    <w:p w14:paraId="15EE4D02">
      <w:pPr>
        <w:keepNext w:val="0"/>
        <w:keepLines w:val="0"/>
        <w:pageBreakBefore w:val="0"/>
        <w:kinsoku/>
        <w:wordWrap/>
        <w:overflowPunct/>
        <w:topLinePunct w:val="0"/>
        <w:autoSpaceDE/>
        <w:autoSpaceDN/>
        <w:bidi w:val="0"/>
        <w:adjustRightIn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开展高素质农民培育培训工作，培育市级高素质农民140人。每期培训班培训时间1至2天。</w:t>
      </w:r>
    </w:p>
    <w:p w14:paraId="7C7F405F">
      <w:pPr>
        <w:keepNext w:val="0"/>
        <w:keepLines w:val="0"/>
        <w:pageBreakBefore w:val="0"/>
        <w:kinsoku/>
        <w:wordWrap/>
        <w:overflowPunct/>
        <w:topLinePunct w:val="0"/>
        <w:autoSpaceDE/>
        <w:autoSpaceDN/>
        <w:bidi w:val="0"/>
        <w:adjustRightIn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开展“新农人”培育项目补助工作。</w:t>
      </w:r>
    </w:p>
    <w:p w14:paraId="42C031EE">
      <w:pPr>
        <w:keepNext w:val="0"/>
        <w:keepLines w:val="0"/>
        <w:pageBreakBefore w:val="0"/>
        <w:kinsoku/>
        <w:wordWrap/>
        <w:overflowPunct/>
        <w:topLinePunct w:val="0"/>
        <w:autoSpaceDE/>
        <w:autoSpaceDN/>
        <w:bidi w:val="0"/>
        <w:adjustRightIn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开展省级培训实训基地（田间学校）补助工作。</w:t>
      </w:r>
    </w:p>
    <w:p w14:paraId="1EC80475">
      <w:pPr>
        <w:keepNext w:val="0"/>
        <w:keepLines w:val="0"/>
        <w:pageBreakBefore w:val="0"/>
        <w:kinsoku/>
        <w:wordWrap/>
        <w:overflowPunct/>
        <w:topLinePunct w:val="0"/>
        <w:autoSpaceDE/>
        <w:autoSpaceDN/>
        <w:bidi w:val="0"/>
        <w:adjustRightInd/>
        <w:spacing w:line="520" w:lineRule="exact"/>
        <w:ind w:firstLine="640" w:firstLineChars="200"/>
        <w:jc w:val="left"/>
        <w:rPr>
          <w:rFonts w:hint="eastAsia" w:ascii="黑体" w:hAnsi="黑体" w:eastAsia="黑体"/>
          <w:sz w:val="32"/>
          <w:szCs w:val="32"/>
        </w:rPr>
      </w:pPr>
      <w:r>
        <w:rPr>
          <w:rFonts w:hint="eastAsia" w:ascii="黑体" w:hAnsi="黑体" w:eastAsia="黑体"/>
          <w:sz w:val="32"/>
          <w:szCs w:val="32"/>
        </w:rPr>
        <w:t>三、经费预算</w:t>
      </w:r>
    </w:p>
    <w:p w14:paraId="142C1331">
      <w:pPr>
        <w:keepNext w:val="0"/>
        <w:keepLines w:val="0"/>
        <w:pageBreakBefore w:val="0"/>
        <w:kinsoku/>
        <w:wordWrap/>
        <w:overflowPunct/>
        <w:topLinePunct w:val="0"/>
        <w:autoSpaceDE/>
        <w:autoSpaceDN/>
        <w:bidi w:val="0"/>
        <w:adjustRightIn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项目总投入资金7万元，全部为省级财政补助资金。根据南京市农业农村局、南京市财政局《关于下达2024年度第四批省级专项资金的通知》（宁农计〔2024〕45号）文件精神，项目资金用于开展新型农技推广体系建设工作，包括区域性基层农技推广服务、“新农人”培育、高素质农民培育、省级培训实训基地（田间学校）补助等。</w:t>
      </w:r>
    </w:p>
    <w:p w14:paraId="55B438E1">
      <w:pPr>
        <w:keepNext w:val="0"/>
        <w:keepLines w:val="0"/>
        <w:pageBreakBefore w:val="0"/>
        <w:kinsoku/>
        <w:wordWrap/>
        <w:overflowPunct/>
        <w:topLinePunct w:val="0"/>
        <w:autoSpaceDE/>
        <w:autoSpaceDN/>
        <w:bidi w:val="0"/>
        <w:adjustRightIn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各项经费支出将根据实际情况由区农业农村局作出统筹安排，发挥财政资金使用最大效益。</w:t>
      </w:r>
    </w:p>
    <w:p w14:paraId="236FA9D9">
      <w:pPr>
        <w:pStyle w:val="3"/>
        <w:keepNext w:val="0"/>
        <w:keepLines w:val="0"/>
        <w:pageBreakBefore w:val="0"/>
        <w:kinsoku/>
        <w:wordWrap/>
        <w:overflowPunct/>
        <w:topLinePunct w:val="0"/>
        <w:autoSpaceDE/>
        <w:autoSpaceDN/>
        <w:bidi w:val="0"/>
        <w:adjustRightInd/>
        <w:spacing w:line="560" w:lineRule="exact"/>
        <w:rPr>
          <w:rFonts w:ascii="Times New Roman" w:hAnsi="Times New Roman"/>
        </w:rPr>
      </w:pPr>
    </w:p>
    <w:p w14:paraId="4D2F69E1">
      <w:pPr>
        <w:rPr>
          <w:rFonts w:hint="eastAsia" w:ascii="Times New Roman" w:hAnsi="Times New Roman" w:eastAsia="方正小标宋_GBK"/>
          <w:sz w:val="44"/>
          <w:szCs w:val="44"/>
        </w:rPr>
      </w:pPr>
      <w:r>
        <w:rPr>
          <w:rFonts w:hint="eastAsia" w:ascii="Times New Roman" w:hAnsi="Times New Roman" w:eastAsia="方正小标宋_GBK"/>
          <w:sz w:val="44"/>
          <w:szCs w:val="44"/>
        </w:rPr>
        <w:br w:type="page"/>
      </w:r>
    </w:p>
    <w:p w14:paraId="244BF163">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sz w:val="44"/>
          <w:szCs w:val="44"/>
          <w:lang w:eastAsia="zh-CN"/>
        </w:rPr>
      </w:pPr>
      <w:r>
        <w:rPr>
          <w:rFonts w:hint="eastAsia" w:ascii="Times New Roman" w:hAnsi="Times New Roman" w:eastAsia="方正小标宋_GBK"/>
          <w:sz w:val="44"/>
          <w:szCs w:val="44"/>
        </w:rPr>
        <w:t>农业公共服务补助专项</w:t>
      </w:r>
      <w:r>
        <w:rPr>
          <w:rFonts w:hint="eastAsia" w:ascii="Times New Roman" w:hAnsi="Times New Roman" w:eastAsia="方正小标宋_GBK"/>
          <w:sz w:val="44"/>
          <w:szCs w:val="44"/>
          <w:lang w:eastAsia="zh-CN"/>
        </w:rPr>
        <w:t>——</w:t>
      </w:r>
    </w:p>
    <w:p w14:paraId="29B0965F">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t>农产品质量安全监管实施指导意见</w:t>
      </w:r>
    </w:p>
    <w:p w14:paraId="155885F5">
      <w:pPr>
        <w:keepNext w:val="0"/>
        <w:keepLines w:val="0"/>
        <w:pageBreakBefore w:val="0"/>
        <w:kinsoku/>
        <w:wordWrap/>
        <w:overflowPunct/>
        <w:topLinePunct w:val="0"/>
        <w:autoSpaceDE/>
        <w:autoSpaceDN/>
        <w:bidi w:val="0"/>
        <w:adjustRightInd/>
        <w:spacing w:line="560" w:lineRule="exact"/>
        <w:jc w:val="center"/>
        <w:rPr>
          <w:rFonts w:hint="eastAsia" w:ascii="方正小标宋简体" w:eastAsia="方正小标宋简体"/>
          <w:sz w:val="36"/>
          <w:szCs w:val="36"/>
        </w:rPr>
      </w:pPr>
    </w:p>
    <w:p w14:paraId="348E3EE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一、工作内容</w:t>
      </w:r>
    </w:p>
    <w:p w14:paraId="3DC045BD">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Times New Roman" w:hAnsi="Times New Roman" w:eastAsia="方正仿宋_GBK" w:cs="Times New Roman"/>
          <w:color w:val="auto"/>
          <w:sz w:val="32"/>
          <w:szCs w:val="32"/>
          <w:lang w:val="en-US" w:eastAsia="zh-CN"/>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w:t>
      </w:r>
      <w:r>
        <w:rPr>
          <w:rFonts w:hint="eastAsia" w:ascii="Times New Roman" w:hAnsi="Times New Roman" w:eastAsia="方正仿宋_GBK" w:cs="Times New Roman"/>
          <w:color w:val="auto"/>
          <w:sz w:val="32"/>
          <w:szCs w:val="32"/>
          <w:lang w:val="en-US" w:eastAsia="zh-CN"/>
        </w:rPr>
        <w:t>进一步推广胶体金法快速检测技术，推动建立常态化速测保障机制，对栖霞区内地产农产品上市前胶体金快检，保障农产品质量安全。</w:t>
      </w:r>
    </w:p>
    <w:p w14:paraId="4472AD2A">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二、资金预算</w:t>
      </w:r>
    </w:p>
    <w:p w14:paraId="7A56EC16">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全区共计0.3万元。</w:t>
      </w:r>
    </w:p>
    <w:p w14:paraId="1EC9EF9B">
      <w:pPr>
        <w:pStyle w:val="2"/>
        <w:rPr>
          <w:rFonts w:hint="eastAsia"/>
        </w:rPr>
      </w:pPr>
    </w:p>
    <w:p w14:paraId="321B8BAE">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sz w:val="44"/>
          <w:szCs w:val="44"/>
        </w:rPr>
      </w:pPr>
      <w:r>
        <w:rPr>
          <w:rFonts w:hint="eastAsia" w:ascii="Times New Roman" w:hAnsi="Times New Roman" w:eastAsia="方正小标宋_GBK"/>
          <w:sz w:val="44"/>
          <w:szCs w:val="44"/>
        </w:rPr>
        <w:t>农业公共服务补助专项</w:t>
      </w:r>
      <w:r>
        <w:rPr>
          <w:rFonts w:hint="eastAsia" w:ascii="Times New Roman" w:hAnsi="Times New Roman" w:eastAsia="方正小标宋_GBK"/>
          <w:sz w:val="44"/>
          <w:szCs w:val="44"/>
          <w:lang w:val="en-US" w:eastAsia="zh-CN"/>
        </w:rPr>
        <w:t>——</w:t>
      </w:r>
      <w:r>
        <w:rPr>
          <w:rFonts w:hint="eastAsia" w:ascii="Times New Roman" w:hAnsi="Times New Roman" w:eastAsia="方正小标宋_GBK"/>
          <w:sz w:val="44"/>
          <w:szCs w:val="44"/>
        </w:rPr>
        <w:t>绩效激励资金（农产品质量安全）实施指导意见</w:t>
      </w:r>
    </w:p>
    <w:p w14:paraId="11D05D6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一、工作内容</w:t>
      </w:r>
    </w:p>
    <w:p w14:paraId="0CF2003B">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对栖霞区内地产农产品上市前定量检测。加强风险监测预警。突出重点品种，加大特色农产品专项监测力度，进一步提高监测效能。</w:t>
      </w:r>
    </w:p>
    <w:p w14:paraId="3A5A2DE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二、资金预算</w:t>
      </w:r>
    </w:p>
    <w:p w14:paraId="748289FB">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全区共计16万元。</w:t>
      </w:r>
    </w:p>
    <w:p w14:paraId="30144F96">
      <w:pPr>
        <w:keepNext w:val="0"/>
        <w:keepLines w:val="0"/>
        <w:pageBreakBefore w:val="0"/>
        <w:kinsoku/>
        <w:wordWrap/>
        <w:overflowPunct/>
        <w:topLinePunct w:val="0"/>
        <w:autoSpaceDE/>
        <w:autoSpaceDN/>
        <w:bidi w:val="0"/>
        <w:adjustRightInd/>
        <w:spacing w:line="560" w:lineRule="exact"/>
        <w:rPr>
          <w:rFonts w:ascii="Times New Roman" w:hAnsi="Times New Roman" w:eastAsia="黑体" w:cs="Times New Roman"/>
          <w:color w:val="auto"/>
          <w:sz w:val="32"/>
          <w:szCs w:val="32"/>
        </w:rPr>
      </w:pPr>
    </w:p>
    <w:p w14:paraId="101D57AD">
      <w:pPr>
        <w:rPr>
          <w:rFonts w:hint="eastAsia" w:ascii="Times New Roman" w:hAnsi="Times New Roman" w:eastAsia="方正小标宋_GBK"/>
          <w:sz w:val="44"/>
          <w:szCs w:val="44"/>
          <w:lang w:val="en-US" w:eastAsia="zh-CN"/>
        </w:rPr>
      </w:pPr>
      <w:r>
        <w:rPr>
          <w:rFonts w:hint="eastAsia" w:ascii="Times New Roman" w:hAnsi="Times New Roman" w:eastAsia="方正小标宋_GBK"/>
          <w:sz w:val="44"/>
          <w:szCs w:val="44"/>
          <w:lang w:val="en-US" w:eastAsia="zh-CN"/>
        </w:rPr>
        <w:br w:type="page"/>
      </w:r>
    </w:p>
    <w:p w14:paraId="25AD83BE">
      <w:pPr>
        <w:keepNext w:val="0"/>
        <w:keepLines w:val="0"/>
        <w:pageBreakBefore w:val="0"/>
        <w:kinsoku/>
        <w:wordWrap/>
        <w:overflowPunct/>
        <w:topLinePunct w:val="0"/>
        <w:autoSpaceDE/>
        <w:autoSpaceDN/>
        <w:bidi w:val="0"/>
        <w:adjustRightInd/>
        <w:spacing w:line="560" w:lineRule="exact"/>
        <w:jc w:val="center"/>
        <w:rPr>
          <w:rFonts w:hint="eastAsia" w:ascii="Times New Roman" w:hAnsi="Times New Roman" w:eastAsia="方正小标宋_GBK"/>
          <w:sz w:val="44"/>
          <w:szCs w:val="44"/>
          <w:lang w:val="en-US" w:eastAsia="zh-CN"/>
        </w:rPr>
      </w:pPr>
      <w:r>
        <w:rPr>
          <w:rFonts w:hint="eastAsia" w:ascii="Times New Roman" w:hAnsi="Times New Roman" w:eastAsia="方正小标宋_GBK"/>
          <w:sz w:val="44"/>
          <w:szCs w:val="44"/>
          <w:lang w:val="en-US" w:eastAsia="zh-CN"/>
        </w:rPr>
        <w:t>2024年现代农业发展专项—土地承包到期后再延长30年工作补助资金实施指导意见</w:t>
      </w:r>
    </w:p>
    <w:p w14:paraId="52CF832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一、指导性任务</w:t>
      </w:r>
    </w:p>
    <w:p w14:paraId="4F1E295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lang w:val="en-US" w:eastAsia="zh-CN"/>
        </w:rPr>
        <w:t>为贯彻落实</w:t>
      </w:r>
      <w:r>
        <w:rPr>
          <w:rFonts w:hint="eastAsia" w:ascii="Times New Roman" w:hAnsi="Times New Roman" w:eastAsia="方正仿宋_GBK"/>
          <w:sz w:val="32"/>
          <w:szCs w:val="32"/>
        </w:rPr>
        <w:t>党中央、省</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rPr>
        <w:t>市的决策部署，</w:t>
      </w:r>
      <w:r>
        <w:rPr>
          <w:rFonts w:hint="eastAsia" w:ascii="Times New Roman" w:hAnsi="Times New Roman" w:eastAsia="方正仿宋_GBK" w:cs="方正仿宋_GBK"/>
          <w:b w:val="0"/>
          <w:bCs w:val="0"/>
          <w:kern w:val="2"/>
          <w:sz w:val="32"/>
          <w:szCs w:val="32"/>
          <w:lang w:val="en-US" w:eastAsia="zh-CN" w:bidi="ar-SA"/>
        </w:rPr>
        <w:t>确保全区第二轮土地承包到期后再延长30年工作顺利进行，</w:t>
      </w:r>
      <w:r>
        <w:rPr>
          <w:rFonts w:hint="eastAsia" w:ascii="Times New Roman" w:hAnsi="Times New Roman" w:eastAsia="方正仿宋_GBK"/>
          <w:sz w:val="32"/>
          <w:szCs w:val="32"/>
        </w:rPr>
        <w:t>坚持承包关系长久稳定，赋予农民充分有保障的土地权利，坚持集体所有权、稳定农户承包权、放活土地经营权，巩固和完善农村基本经营制度，为提高农业农村现代化水平、推动乡村全面振兴、保持社会和谐稳定奠定基础。</w:t>
      </w:r>
    </w:p>
    <w:p w14:paraId="76677B8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二、工作目标</w:t>
      </w:r>
    </w:p>
    <w:p w14:paraId="2B3D938B">
      <w:pPr>
        <w:pStyle w:val="7"/>
        <w:keepNext w:val="0"/>
        <w:keepLines w:val="0"/>
        <w:pageBreakBefore w:val="0"/>
        <w:widowControl w:val="0"/>
        <w:kinsoku/>
        <w:wordWrap/>
        <w:overflowPunct/>
        <w:topLinePunct w:val="0"/>
        <w:autoSpaceDE/>
        <w:autoSpaceDN/>
        <w:bidi w:val="0"/>
        <w:adjustRightInd/>
        <w:snapToGrid/>
        <w:spacing w:beforeAutospacing="0" w:after="0" w:afterAutospacing="0" w:line="520" w:lineRule="exact"/>
        <w:ind w:left="0" w:leftChars="0" w:right="0" w:rightChars="0" w:firstLine="640"/>
        <w:jc w:val="both"/>
        <w:textAlignment w:val="auto"/>
        <w:outlineLvl w:val="9"/>
        <w:rPr>
          <w:rFonts w:hint="eastAsia" w:ascii="Times New Roman" w:hAnsi="Times New Roman" w:eastAsia="方正仿宋_GBK" w:cs="方正仿宋_GBK"/>
          <w:sz w:val="32"/>
          <w:szCs w:val="32"/>
        </w:rPr>
      </w:pPr>
      <w:r>
        <w:rPr>
          <w:rFonts w:hint="default" w:ascii="Times New Roman" w:hAnsi="Times New Roman" w:eastAsia="方正仿宋简体" w:cs="Times New Roman"/>
          <w:color w:val="auto"/>
          <w:sz w:val="32"/>
          <w:szCs w:val="32"/>
          <w:lang w:eastAsia="zh-CN"/>
        </w:rPr>
        <w:t>延包工作采取压茬推进的方式进行</w:t>
      </w:r>
      <w:r>
        <w:rPr>
          <w:rFonts w:hint="eastAsia" w:ascii="Times New Roman" w:hAnsi="Times New Roman" w:eastAsia="方正仿宋简体" w:cs="Times New Roman"/>
          <w:color w:val="auto"/>
          <w:sz w:val="32"/>
          <w:szCs w:val="32"/>
          <w:lang w:eastAsia="zh-CN"/>
        </w:rPr>
        <w:t>，</w:t>
      </w:r>
      <w:r>
        <w:rPr>
          <w:rFonts w:hint="eastAsia" w:ascii="Times New Roman" w:hAnsi="Times New Roman" w:eastAsia="方正仿宋_GBK" w:cs="方正仿宋_GBK"/>
          <w:sz w:val="32"/>
          <w:szCs w:val="32"/>
        </w:rPr>
        <w:t>按照“一年开展试点、两年全面推进、三年完善收尾”的进度安排，从2024年起，利用三年时间，全面完成第二轮土地承包到期后再延长30年工作。</w:t>
      </w:r>
    </w:p>
    <w:p w14:paraId="3E76B4A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三、工作内容</w:t>
      </w:r>
    </w:p>
    <w:p w14:paraId="45ACCF47">
      <w:pPr>
        <w:pStyle w:val="7"/>
        <w:keepNext w:val="0"/>
        <w:keepLines w:val="0"/>
        <w:pageBreakBefore w:val="0"/>
        <w:widowControl w:val="0"/>
        <w:kinsoku/>
        <w:wordWrap/>
        <w:overflowPunct/>
        <w:topLinePunct w:val="0"/>
        <w:autoSpaceDE/>
        <w:autoSpaceDN/>
        <w:bidi w:val="0"/>
        <w:adjustRightInd/>
        <w:snapToGrid/>
        <w:spacing w:beforeAutospacing="0" w:after="0" w:afterAutospacing="0" w:line="520" w:lineRule="exact"/>
        <w:ind w:left="0" w:leftChars="0" w:firstLine="630" w:firstLineChars="0"/>
        <w:jc w:val="both"/>
        <w:textAlignment w:val="auto"/>
        <w:rPr>
          <w:rFonts w:hint="eastAsia" w:ascii="Times New Roman" w:hAnsi="Times New Roman" w:eastAsia="方正仿宋_GBK" w:cs="方正仿宋_GBK"/>
          <w:b w:val="0"/>
          <w:bCs w:val="0"/>
          <w:kern w:val="2"/>
          <w:sz w:val="32"/>
          <w:szCs w:val="32"/>
          <w:lang w:val="en-US" w:eastAsia="zh-CN" w:bidi="ar-SA"/>
        </w:rPr>
      </w:pPr>
      <w:r>
        <w:rPr>
          <w:rFonts w:hint="eastAsia" w:ascii="Times New Roman" w:hAnsi="Times New Roman" w:eastAsia="方正仿宋_GBK" w:cs="方正仿宋_GBK"/>
          <w:b w:val="0"/>
          <w:bCs w:val="0"/>
          <w:kern w:val="2"/>
          <w:sz w:val="32"/>
          <w:szCs w:val="32"/>
          <w:lang w:val="en-US" w:eastAsia="zh-CN" w:bidi="ar-SA"/>
        </w:rPr>
        <w:t>根据市委农村工作领导小组《关于印发&lt;南京市第二轮土地承包到期后再延长30年工作方案&gt;的通知》（宁委农发〔2024〕2号）要求，各村按照</w:t>
      </w:r>
      <w:r>
        <w:rPr>
          <w:rFonts w:hint="default" w:ascii="Times New Roman" w:hAnsi="Times New Roman" w:eastAsia="方正仿宋_GBK" w:cs="方正仿宋_GBK"/>
          <w:b w:val="0"/>
          <w:bCs w:val="0"/>
          <w:kern w:val="2"/>
          <w:sz w:val="32"/>
          <w:szCs w:val="32"/>
          <w:lang w:val="en-US" w:eastAsia="zh-CN" w:bidi="ar-SA"/>
        </w:rPr>
        <w:t>延包工作“十步工作法”</w:t>
      </w:r>
      <w:r>
        <w:rPr>
          <w:rFonts w:hint="eastAsia" w:ascii="Times New Roman" w:hAnsi="Times New Roman" w:eastAsia="方正仿宋_GBK" w:cs="方正仿宋_GBK"/>
          <w:b w:val="0"/>
          <w:bCs w:val="0"/>
          <w:kern w:val="2"/>
          <w:sz w:val="32"/>
          <w:szCs w:val="32"/>
          <w:lang w:val="en-US" w:eastAsia="zh-CN" w:bidi="ar-SA"/>
        </w:rPr>
        <w:t>开展延包工作，用于测绘、调查、数据修改入库、数据汇交、档案等相关技术服务内容，此项</w:t>
      </w:r>
      <w:r>
        <w:rPr>
          <w:rFonts w:hint="default" w:ascii="Times New Roman" w:hAnsi="Times New Roman" w:eastAsia="方正仿宋简体" w:cs="Times New Roman"/>
          <w:color w:val="auto"/>
          <w:sz w:val="32"/>
          <w:szCs w:val="32"/>
          <w:u w:val="none"/>
          <w:lang w:eastAsia="zh-CN"/>
        </w:rPr>
        <w:t>延包工作</w:t>
      </w:r>
      <w:r>
        <w:rPr>
          <w:rFonts w:hint="default" w:ascii="Times New Roman" w:hAnsi="Times New Roman" w:eastAsia="仿宋_GB2312" w:cs="Times New Roman"/>
          <w:color w:val="auto"/>
          <w:sz w:val="32"/>
          <w:szCs w:val="32"/>
        </w:rPr>
        <w:t>不得向农民收费，不得增加村级组织负担</w:t>
      </w:r>
      <w:r>
        <w:rPr>
          <w:rFonts w:hint="eastAsia" w:ascii="Times New Roman" w:hAnsi="Times New Roman" w:eastAsia="方正仿宋简体" w:cs="Times New Roman"/>
          <w:color w:val="auto"/>
          <w:sz w:val="32"/>
          <w:szCs w:val="32"/>
          <w:u w:val="none"/>
          <w:lang w:eastAsia="zh-CN"/>
        </w:rPr>
        <w:t>，</w:t>
      </w:r>
      <w:r>
        <w:rPr>
          <w:rFonts w:hint="default" w:ascii="Times New Roman" w:hAnsi="Times New Roman" w:eastAsia="方正仿宋简体" w:cs="Times New Roman"/>
          <w:color w:val="auto"/>
          <w:sz w:val="32"/>
          <w:szCs w:val="32"/>
          <w:lang w:eastAsia="zh-CN"/>
        </w:rPr>
        <w:t>确保资金专款专用、安全高效。</w:t>
      </w:r>
    </w:p>
    <w:p w14:paraId="74A972F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黑体"/>
          <w:sz w:val="32"/>
          <w:szCs w:val="32"/>
        </w:rPr>
      </w:pPr>
      <w:r>
        <w:rPr>
          <w:rFonts w:hint="eastAsia" w:ascii="Times New Roman" w:hAnsi="Times New Roman" w:eastAsia="黑体"/>
          <w:sz w:val="32"/>
          <w:szCs w:val="32"/>
        </w:rPr>
        <w:t>四、补助标准</w:t>
      </w:r>
    </w:p>
    <w:p w14:paraId="24536D9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left="0" w:leftChars="0" w:right="0" w:rightChars="0" w:firstLine="640" w:firstLineChars="200"/>
        <w:jc w:val="left"/>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b w:val="0"/>
          <w:bCs w:val="0"/>
          <w:kern w:val="2"/>
          <w:sz w:val="32"/>
          <w:szCs w:val="32"/>
          <w:lang w:val="en-US" w:eastAsia="zh-CN" w:bidi="ar-SA"/>
        </w:rPr>
        <w:t>本次主要用于技术服务招标等相关经费，预拨龙潭、八卦洲街道各30万元/个进行补助，西岗街道4万元，共计64万元。</w:t>
      </w:r>
    </w:p>
    <w:p w14:paraId="5DDF4690">
      <w:pPr>
        <w:keepNext w:val="0"/>
        <w:keepLines w:val="0"/>
        <w:pageBreakBefore w:val="0"/>
        <w:kinsoku/>
        <w:wordWrap/>
        <w:overflowPunct/>
        <w:topLinePunct w:val="0"/>
        <w:autoSpaceDE/>
        <w:autoSpaceDN/>
        <w:bidi w:val="0"/>
        <w:adjustRightInd/>
        <w:spacing w:line="560" w:lineRule="exact"/>
        <w:ind w:firstLine="640" w:firstLineChars="200"/>
        <w:jc w:val="left"/>
        <w:rPr>
          <w:rFonts w:hint="eastAsia" w:ascii="仿宋" w:hAnsi="仿宋" w:eastAsia="仿宋"/>
          <w:sz w:val="32"/>
          <w:szCs w:val="32"/>
          <w:lang w:val="en-US" w:eastAsia="zh-CN"/>
        </w:rPr>
      </w:pPr>
    </w:p>
    <w:p w14:paraId="6299B562">
      <w:pPr>
        <w:rPr>
          <w:rFonts w:ascii="Times New Roman" w:hAnsi="Times New Roman" w:eastAsia="方正小标宋_GBK"/>
          <w:sz w:val="44"/>
          <w:szCs w:val="44"/>
        </w:rPr>
      </w:pPr>
      <w:r>
        <w:rPr>
          <w:rFonts w:ascii="Times New Roman" w:hAnsi="Times New Roman" w:eastAsia="方正小标宋_GBK"/>
          <w:sz w:val="44"/>
          <w:szCs w:val="44"/>
        </w:rPr>
        <w:br w:type="page"/>
      </w:r>
    </w:p>
    <w:p w14:paraId="37A042A5">
      <w:pPr>
        <w:keepNext w:val="0"/>
        <w:keepLines w:val="0"/>
        <w:pageBreakBefore w:val="0"/>
        <w:kinsoku/>
        <w:wordWrap/>
        <w:overflowPunct/>
        <w:topLinePunct w:val="0"/>
        <w:autoSpaceDE/>
        <w:autoSpaceDN/>
        <w:bidi w:val="0"/>
        <w:adjustRightInd/>
        <w:spacing w:line="560" w:lineRule="exact"/>
        <w:jc w:val="center"/>
        <w:rPr>
          <w:rFonts w:ascii="Times New Roman" w:hAnsi="Times New Roman" w:eastAsia="方正小标宋_GBK"/>
          <w:sz w:val="44"/>
          <w:szCs w:val="44"/>
        </w:rPr>
      </w:pPr>
      <w:r>
        <w:rPr>
          <w:rFonts w:ascii="Times New Roman" w:hAnsi="Times New Roman" w:eastAsia="方正小标宋_GBK"/>
          <w:sz w:val="44"/>
          <w:szCs w:val="44"/>
        </w:rPr>
        <w:t>2024年农业</w:t>
      </w:r>
      <w:r>
        <w:rPr>
          <w:rFonts w:hint="eastAsia" w:ascii="Times New Roman" w:hAnsi="Times New Roman" w:eastAsia="方正小标宋_GBK"/>
          <w:sz w:val="44"/>
          <w:szCs w:val="44"/>
        </w:rPr>
        <w:t>生态保护与资源利用补助</w:t>
      </w:r>
      <w:r>
        <w:rPr>
          <w:rFonts w:ascii="Times New Roman" w:hAnsi="Times New Roman" w:eastAsia="方正小标宋_GBK"/>
          <w:sz w:val="44"/>
          <w:szCs w:val="44"/>
        </w:rPr>
        <w:t>专项—</w:t>
      </w:r>
      <w:r>
        <w:rPr>
          <w:rFonts w:hint="eastAsia" w:ascii="Times New Roman" w:hAnsi="Times New Roman" w:eastAsia="方正小标宋_GBK"/>
          <w:sz w:val="44"/>
          <w:szCs w:val="44"/>
        </w:rPr>
        <w:t>开展耕地质量监测、开展土壤墒情监测、开展农产品产地环境例行监测工作</w:t>
      </w:r>
    </w:p>
    <w:p w14:paraId="446D7C60">
      <w:pPr>
        <w:keepNext w:val="0"/>
        <w:keepLines w:val="0"/>
        <w:pageBreakBefore w:val="0"/>
        <w:kinsoku/>
        <w:wordWrap/>
        <w:overflowPunct/>
        <w:topLinePunct w:val="0"/>
        <w:autoSpaceDE/>
        <w:autoSpaceDN/>
        <w:bidi w:val="0"/>
        <w:adjustRightInd/>
        <w:spacing w:line="560" w:lineRule="exact"/>
        <w:jc w:val="center"/>
        <w:rPr>
          <w:rFonts w:ascii="Times New Roman" w:hAnsi="Times New Roman" w:eastAsia="方正小标宋_GBK"/>
          <w:sz w:val="44"/>
          <w:szCs w:val="44"/>
        </w:rPr>
      </w:pPr>
      <w:r>
        <w:rPr>
          <w:rFonts w:ascii="Times New Roman" w:hAnsi="Times New Roman" w:eastAsia="方正小标宋_GBK"/>
          <w:sz w:val="44"/>
          <w:szCs w:val="44"/>
        </w:rPr>
        <w:t>实施指导意见</w:t>
      </w:r>
    </w:p>
    <w:p w14:paraId="1198564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一、指导性任务</w:t>
      </w:r>
    </w:p>
    <w:p w14:paraId="1C32F421">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根据《关于印发 2024 年全省耕环工作要点的通知》（苏耕环〔2024〕4号），支持栖霞区内开展耕地质量监测工作、开展土壤墒情自动监测工作、开展农产品产地环境例行监测工作。</w:t>
      </w:r>
    </w:p>
    <w:p w14:paraId="69CC660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二、工作目标</w:t>
      </w:r>
    </w:p>
    <w:p w14:paraId="61725AA1">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开展耕地质量监测等相关工作,为政府耕地质量保护宏观决策和农业生产微观指导提供科学依据：</w:t>
      </w:r>
    </w:p>
    <w:p w14:paraId="1E756248">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开展耕地质量监测工作，健全耕地质量监测网络，掌握耕地质量动态变化，提升耕地综合生产能力。</w:t>
      </w:r>
    </w:p>
    <w:p w14:paraId="210A0209">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开展土壤墒情自动监测工作，准确掌握本区土壤墒情情况加强土壤墒情自动监测点维修、更新和维护管理，保障土壤墒情监测设备正常运转，数据实时传输入土壤墒情监测网。</w:t>
      </w:r>
    </w:p>
    <w:p w14:paraId="17FCE2EC">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开展农产品产地环境例行监测工作，全面监测农产品产地环境质量状况，长期定位监测产地土壤及农产品的安全指标，构建全区农产品产地环境监测网。</w:t>
      </w:r>
    </w:p>
    <w:p w14:paraId="44F422BA">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三、工作内容</w:t>
      </w:r>
    </w:p>
    <w:p w14:paraId="64E52192">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1、开展耕地质量监测工作:一是完善耕地质量监测网络；二是加快新增省级监测点标准化建设，加强基础设施维护；三是做好信息调查和数据报送；四是编制耕地质量监测报告。</w:t>
      </w:r>
    </w:p>
    <w:p w14:paraId="4545BC60">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开展土壤墒情自动监测工作：根据农业农村部种植业管理司《做好“十四五”土壤墒情自动监测工作指导意见》（农农（肥水）〔2021〕8号）要求，掌握本区土壤墒情情况，加强土壤情自动监测点维修、更新和维护管理，保障土壤墒情</w:t>
      </w:r>
      <w:bookmarkStart w:id="0" w:name="_GoBack"/>
      <w:bookmarkEnd w:id="0"/>
      <w:r>
        <w:rPr>
          <w:rFonts w:hint="eastAsia" w:ascii="Times New Roman" w:hAnsi="Times New Roman" w:eastAsia="方正仿宋_GBK" w:cs="Times New Roman"/>
          <w:color w:val="auto"/>
          <w:sz w:val="32"/>
          <w:szCs w:val="32"/>
          <w:lang w:val="en-US" w:eastAsia="zh-CN"/>
        </w:rPr>
        <w:t>监测设备正常运转，数据实时传输入土壤墒情监测网。</w:t>
      </w:r>
    </w:p>
    <w:p w14:paraId="3DB63EDC">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3、开展农产品产地环境例行监测工作：根据《江苏省农产品产地土壤环境质量例行监测总体方案》要求，在全区4个农产品产地环境监测点规范开展产地环境例行监测，及时报送监测数据和年度监测报告。依据近年监测数据情况，协同监测一季农产品及产地土壤，土壤指标包括PH、镉、汞、砷、铅、铬，农产品指标包括镉、汞、砷（水稻为无机砷）、铅、铬。</w:t>
      </w:r>
    </w:p>
    <w:p w14:paraId="10F0AF8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四、资金预算</w:t>
      </w:r>
    </w:p>
    <w:p w14:paraId="3D44F5A3">
      <w:pPr>
        <w:keepNext w:val="0"/>
        <w:keepLines w:val="0"/>
        <w:pageBreakBefore w:val="0"/>
        <w:widowControl w:val="0"/>
        <w:kinsoku/>
        <w:wordWrap/>
        <w:overflowPunct/>
        <w:topLinePunct w:val="0"/>
        <w:autoSpaceDE/>
        <w:autoSpaceDN/>
        <w:bidi w:val="0"/>
        <w:adjustRightInd/>
        <w:snapToGrid/>
        <w:spacing w:line="520" w:lineRule="exac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全区共计24.5万元：绩效激励资金13.08万元，指导性任务资金11.42万元。</w:t>
      </w:r>
    </w:p>
    <w:p w14:paraId="1489DE98">
      <w:pPr>
        <w:keepNext w:val="0"/>
        <w:keepLines w:val="0"/>
        <w:pageBreakBefore w:val="0"/>
        <w:kinsoku/>
        <w:wordWrap/>
        <w:overflowPunct/>
        <w:topLinePunct w:val="0"/>
        <w:autoSpaceDE/>
        <w:autoSpaceDN/>
        <w:bidi w:val="0"/>
        <w:adjustRightInd/>
        <w:spacing w:line="560" w:lineRule="exact"/>
        <w:ind w:firstLine="640"/>
        <w:jc w:val="both"/>
        <w:textAlignment w:val="auto"/>
        <w:rPr>
          <w:rFonts w:hint="eastAsia" w:ascii="Times New Roman" w:hAnsi="Times New Roman" w:eastAsia="方正仿宋_GBK" w:cs="Times New Roman"/>
          <w:color w:val="auto"/>
          <w:sz w:val="32"/>
          <w:szCs w:val="32"/>
          <w:lang w:val="en-US" w:eastAsia="zh-CN"/>
        </w:rPr>
      </w:pPr>
    </w:p>
    <w:p w14:paraId="2BAD4008">
      <w:pPr>
        <w:ind w:firstLine="640" w:firstLineChars="200"/>
        <w:jc w:val="left"/>
        <w:rPr>
          <w:rFonts w:hint="eastAsia" w:ascii="仿宋" w:hAnsi="仿宋" w:eastAsia="仿宋"/>
          <w:sz w:val="32"/>
          <w:szCs w:val="32"/>
          <w:lang w:val="en-US" w:eastAsia="zh-CN"/>
        </w:rPr>
      </w:pPr>
    </w:p>
    <w:p w14:paraId="2C1021AE">
      <w:pPr>
        <w:ind w:firstLine="640" w:firstLineChars="200"/>
        <w:jc w:val="left"/>
        <w:rPr>
          <w:rFonts w:hint="eastAsia" w:ascii="仿宋" w:hAnsi="仿宋" w:eastAsia="仿宋"/>
          <w:sz w:val="32"/>
          <w:szCs w:val="32"/>
          <w:lang w:val="en-US" w:eastAsia="zh-CN"/>
        </w:rPr>
      </w:pPr>
    </w:p>
    <w:p w14:paraId="34E947F4">
      <w:pPr>
        <w:rPr>
          <w:rFonts w:hint="eastAsia" w:ascii="Times New Roman" w:hAnsi="Times New Roman" w:eastAsia="方正小标宋_GBK"/>
          <w:sz w:val="44"/>
          <w:szCs w:val="44"/>
        </w:rPr>
      </w:pPr>
      <w:r>
        <w:rPr>
          <w:rFonts w:hint="eastAsia" w:ascii="Times New Roman" w:hAnsi="Times New Roman" w:eastAsia="方正小标宋_GBK"/>
          <w:sz w:val="44"/>
          <w:szCs w:val="44"/>
        </w:rPr>
        <w:br w:type="page"/>
      </w:r>
    </w:p>
    <w:p w14:paraId="5DB2348F">
      <w:pPr>
        <w:keepNext w:val="0"/>
        <w:keepLines w:val="0"/>
        <w:pageBreakBefore w:val="0"/>
        <w:kinsoku/>
        <w:wordWrap/>
        <w:overflowPunct/>
        <w:topLinePunct w:val="0"/>
        <w:autoSpaceDE/>
        <w:autoSpaceDN/>
        <w:bidi w:val="0"/>
        <w:adjustRightInd/>
        <w:spacing w:line="560" w:lineRule="exact"/>
        <w:jc w:val="center"/>
        <w:rPr>
          <w:rFonts w:hint="default" w:ascii="Times New Roman" w:hAnsi="Times New Roman" w:eastAsia="方正小标宋_GBK"/>
          <w:sz w:val="44"/>
          <w:szCs w:val="44"/>
          <w:lang w:val="en-US" w:eastAsia="zh-CN"/>
        </w:rPr>
      </w:pPr>
      <w:r>
        <w:rPr>
          <w:rFonts w:hint="eastAsia" w:ascii="Times New Roman" w:hAnsi="Times New Roman" w:eastAsia="方正小标宋_GBK"/>
          <w:sz w:val="44"/>
          <w:szCs w:val="44"/>
        </w:rPr>
        <w:t>农业生态保护与资源利用</w:t>
      </w:r>
      <w:r>
        <w:rPr>
          <w:rFonts w:hint="eastAsia" w:ascii="Times New Roman" w:hAnsi="Times New Roman" w:eastAsia="方正小标宋_GBK"/>
          <w:sz w:val="44"/>
          <w:szCs w:val="44"/>
          <w:lang w:val="en-US" w:eastAsia="zh-CN"/>
        </w:rPr>
        <w:t>专项——</w:t>
      </w:r>
      <w:r>
        <w:rPr>
          <w:rFonts w:hint="eastAsia" w:ascii="Times New Roman" w:hAnsi="Times New Roman" w:eastAsia="方正小标宋_GBK"/>
          <w:sz w:val="44"/>
          <w:szCs w:val="44"/>
        </w:rPr>
        <w:t>三普、耕地质量监测与安全利用、补充耕地</w:t>
      </w:r>
      <w:r>
        <w:rPr>
          <w:rFonts w:hint="eastAsia" w:ascii="Times New Roman" w:hAnsi="Times New Roman" w:eastAsia="方正小标宋_GBK"/>
          <w:sz w:val="44"/>
          <w:szCs w:val="44"/>
          <w:lang w:val="en-US" w:eastAsia="zh-CN"/>
        </w:rPr>
        <w:t>工作实施指导意见</w:t>
      </w:r>
    </w:p>
    <w:p w14:paraId="4ABEF53F">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一、工作内容</w:t>
      </w:r>
    </w:p>
    <w:p w14:paraId="7364D743">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 xml:space="preserve">对栖霞区开展三普、耕地质量监测与安全利用、补充耕地等工作。 </w:t>
      </w:r>
    </w:p>
    <w:p w14:paraId="6D32CB01">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eastAsia" w:ascii="黑体" w:hAnsi="黑体" w:eastAsia="黑体"/>
          <w:sz w:val="32"/>
          <w:szCs w:val="32"/>
        </w:rPr>
      </w:pPr>
      <w:r>
        <w:rPr>
          <w:rFonts w:hint="eastAsia" w:ascii="黑体" w:hAnsi="黑体" w:eastAsia="黑体"/>
          <w:sz w:val="32"/>
          <w:szCs w:val="32"/>
        </w:rPr>
        <w:t>二、资金预算</w:t>
      </w:r>
    </w:p>
    <w:p w14:paraId="1BC1A30E">
      <w:pPr>
        <w:keepNext w:val="0"/>
        <w:keepLines w:val="0"/>
        <w:pageBreakBefore w:val="0"/>
        <w:widowControl w:val="0"/>
        <w:kinsoku/>
        <w:wordWrap/>
        <w:overflowPunct/>
        <w:topLinePunct w:val="0"/>
        <w:autoSpaceDE/>
        <w:autoSpaceDN/>
        <w:bidi w:val="0"/>
        <w:adjustRightInd/>
        <w:snapToGrid/>
        <w:spacing w:line="520" w:lineRule="atLeast"/>
        <w:ind w:firstLine="64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全区共计248.28万元：绩效激励资金65.73万元，指导性任务资金182.55万元。</w:t>
      </w:r>
    </w:p>
    <w:p w14:paraId="5E7516C4">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default" w:ascii="仿宋" w:hAnsi="仿宋" w:eastAsia="仿宋"/>
          <w:sz w:val="32"/>
          <w:szCs w:val="32"/>
          <w:lang w:val="en-US" w:eastAsia="zh-CN"/>
        </w:rPr>
      </w:pPr>
    </w:p>
    <w:p w14:paraId="7DE5AA0F">
      <w:pPr>
        <w:keepNext w:val="0"/>
        <w:keepLines w:val="0"/>
        <w:pageBreakBefore w:val="0"/>
        <w:widowControl w:val="0"/>
        <w:kinsoku/>
        <w:wordWrap/>
        <w:overflowPunct/>
        <w:topLinePunct w:val="0"/>
        <w:autoSpaceDE/>
        <w:autoSpaceDN/>
        <w:bidi w:val="0"/>
        <w:adjustRightInd/>
        <w:snapToGrid/>
        <w:spacing w:line="520" w:lineRule="atLeast"/>
        <w:ind w:firstLine="640" w:firstLineChars="200"/>
        <w:jc w:val="left"/>
        <w:textAlignment w:val="auto"/>
        <w:rPr>
          <w:rFonts w:hint="default" w:ascii="仿宋" w:hAnsi="仿宋" w:eastAsia="仿宋"/>
          <w:sz w:val="32"/>
          <w:szCs w:val="32"/>
          <w:lang w:val="en-US" w:eastAsia="zh-CN"/>
        </w:rPr>
        <w:sectPr>
          <w:footerReference r:id="rId5" w:type="default"/>
          <w:pgSz w:w="11906" w:h="16838"/>
          <w:pgMar w:top="2098" w:right="1474" w:bottom="1985" w:left="1588" w:header="851" w:footer="992" w:gutter="0"/>
          <w:cols w:space="0" w:num="1"/>
          <w:docGrid w:type="lines" w:linePitch="312" w:charSpace="0"/>
        </w:sectPr>
      </w:pPr>
    </w:p>
    <w:p w14:paraId="12354A3D"/>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F9076">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-201295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B4D9C7">
                          <w:pPr>
                            <w:pStyle w:val="6"/>
                            <w:rPr>
                              <w:rFonts w:ascii="Times New Roman" w:hAnsi="Times New Roman" w:cs="Times New Roman"/>
                              <w:sz w:val="28"/>
                              <w:szCs w:val="28"/>
                            </w:rPr>
                          </w:pPr>
                          <w:r>
                            <w:rPr>
                              <w:rFonts w:hint="eastAsia"/>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8</w:t>
                          </w:r>
                          <w:r>
                            <w:rPr>
                              <w:rFonts w:hint="eastAsia" w:asciiTheme="majorEastAsia" w:hAnsiTheme="majorEastAsia" w:eastAsiaTheme="majorEastAsia" w:cstheme="majorEastAsia"/>
                              <w:sz w:val="28"/>
                              <w:szCs w:val="28"/>
                            </w:rPr>
                            <w:fldChar w:fldCharType="end"/>
                          </w:r>
                          <w:r>
                            <w:rPr>
                              <w:rFonts w:hint="eastAsia" w:ascii="Times New Roman" w:hAnsi="Times New Roman" w:cs="Times New Roman"/>
                              <w:sz w:val="28"/>
                              <w:szCs w:val="28"/>
                            </w:rPr>
                            <w:t xml:space="preserve"> </w:t>
                          </w:r>
                          <w:r>
                            <w:rPr>
                              <w:rFonts w:hint="eastAsia"/>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15.85pt;height:144pt;width:144pt;mso-position-horizontal:outside;mso-position-horizontal-relative:margin;mso-wrap-style:none;z-index:251660288;mso-width-relative:page;mso-height-relative:page;" filled="f" stroked="f" coordsize="21600,21600" o:gfxdata="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pcEHt9YAAAAIAQAADwAAAAAAAAABACAAAAAiAAAAZHJzL2Rvd25yZXYueG1sUEsBAhQAFAAA&#10;AAgAh07iQIzXDnwqAgAAVQQAAA4AAAAAAAAAAQAgAAAAJQEAAGRycy9lMm9Eb2MueG1sUEsFBgAA&#10;AAAGAAYAWQEAAMEFAAAAAA==&#10;">
              <v:fill on="f" focussize="0,0"/>
              <v:stroke on="f" weight="0.5pt"/>
              <v:imagedata o:title=""/>
              <o:lock v:ext="edit" aspectratio="f"/>
              <v:textbox inset="0mm,0mm,0mm,0mm" style="mso-fit-shape-to-text:t;">
                <w:txbxContent>
                  <w:p w14:paraId="14B4D9C7">
                    <w:pPr>
                      <w:pStyle w:val="6"/>
                      <w:rPr>
                        <w:rFonts w:ascii="Times New Roman" w:hAnsi="Times New Roman" w:cs="Times New Roman"/>
                        <w:sz w:val="28"/>
                        <w:szCs w:val="28"/>
                      </w:rPr>
                    </w:pPr>
                    <w:r>
                      <w:rPr>
                        <w:rFonts w:hint="eastAsia"/>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8</w:t>
                    </w:r>
                    <w:r>
                      <w:rPr>
                        <w:rFonts w:hint="eastAsia" w:asciiTheme="majorEastAsia" w:hAnsiTheme="majorEastAsia" w:eastAsiaTheme="majorEastAsia" w:cstheme="majorEastAsia"/>
                        <w:sz w:val="28"/>
                        <w:szCs w:val="28"/>
                      </w:rPr>
                      <w:fldChar w:fldCharType="end"/>
                    </w:r>
                    <w:r>
                      <w:rPr>
                        <w:rFonts w:hint="eastAsia" w:ascii="Times New Roman" w:hAnsi="Times New Roman" w:cs="Times New Roman"/>
                        <w:sz w:val="28"/>
                        <w:szCs w:val="28"/>
                      </w:rPr>
                      <w:t xml:space="preserve"> </w:t>
                    </w:r>
                    <w:r>
                      <w:rPr>
                        <w:rFonts w:hint="eastAsia"/>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9F0626"/>
    <w:rsid w:val="67A37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00" w:lineRule="exact"/>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widowControl/>
      <w:spacing w:before="100" w:beforeAutospacing="1" w:after="100" w:afterAutospacing="1"/>
      <w:jc w:val="left"/>
      <w:outlineLvl w:val="1"/>
    </w:pPr>
    <w:rPr>
      <w:rFonts w:ascii="宋体" w:hAnsi="宋体"/>
      <w:b/>
      <w:bCs/>
      <w:kern w:val="0"/>
      <w:sz w:val="36"/>
      <w:szCs w:val="36"/>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line="560" w:lineRule="exact"/>
      <w:ind w:firstLine="480" w:firstLineChars="200"/>
    </w:pPr>
    <w:rPr>
      <w:rFonts w:ascii="Times New Roman" w:hAnsi="Times New Roman"/>
      <w:sz w:val="28"/>
    </w:rPr>
  </w:style>
  <w:style w:type="paragraph" w:styleId="4">
    <w:name w:val="Body Text Indent"/>
    <w:basedOn w:val="1"/>
    <w:next w:val="5"/>
    <w:semiHidden/>
    <w:unhideWhenUsed/>
    <w:qFormat/>
    <w:uiPriority w:val="99"/>
    <w:pPr>
      <w:spacing w:after="120"/>
      <w:ind w:left="420" w:leftChars="200"/>
    </w:pPr>
  </w:style>
  <w:style w:type="paragraph" w:styleId="5">
    <w:name w:val="envelope return"/>
    <w:basedOn w:val="1"/>
    <w:semiHidden/>
    <w:unhideWhenUsed/>
    <w:qFormat/>
    <w:uiPriority w:val="99"/>
    <w:pPr>
      <w:snapToGrid w:val="0"/>
    </w:pPr>
    <w:rPr>
      <w:rFonts w:ascii="Arial" w:hAnsi="Arial"/>
    </w:rPr>
  </w:style>
  <w:style w:type="paragraph" w:styleId="6">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7">
    <w:name w:val="Body Text First Indent 2"/>
    <w:basedOn w:val="4"/>
    <w:semiHidden/>
    <w:unhideWhenUsed/>
    <w:qFormat/>
    <w:uiPriority w:val="99"/>
    <w:pPr>
      <w:ind w:firstLine="420" w:firstLineChars="200"/>
    </w:p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Times New Roman" w:hAnsi="Times New Roman" w:eastAsia="Times New Roman" w:cs="Times New Roman"/>
      <w:sz w:val="19"/>
      <w:szCs w:val="1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1862</Words>
  <Characters>2235</Characters>
  <Lines>0</Lines>
  <Paragraphs>0</Paragraphs>
  <TotalTime>1</TotalTime>
  <ScaleCrop>false</ScaleCrop>
  <LinksUpToDate>false</LinksUpToDate>
  <CharactersWithSpaces>2290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2025-11-21T07:53:00Z</dcterms:created>
  <dc:creator>Administrator</dc:creator>
  <cp:lastModifiedBy>张张</cp:lastModifiedBy>
  <dcterms:modified xsi:type="dcterms:W3CDTF">2025-11-25T02:33:44Z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eyJoZGlkIjoiMTA4MjkyNDIzMTdiNDUwZTgxMWQzYWYzMjZjNWNhNmIiLCJ1c2VySWQiOiI1MDU0MzIyNTgifQ==</vt:lpwstr>
  </property>
  <property fmtid="{D5CDD505-2E9C-101B-9397-08002B2CF9AE}" pid="4" name="ICV">
    <vt:lpwstr>3D6D0BCD5C894F9381E26A732200DDCE_12</vt:lpwstr>
  </property>
</Properties>
</file>