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2022年度</w:t>
              <w:br w:type="textWrapping"/>
              <w:t/>
            </w:r>
            <w:r>
              <w:rPr>
                <w:rFonts w:ascii="宋体" w:hAnsi="宋体" w:cs="宋体" w:eastAsia="宋体"/>
                <w:b w:val="true"/>
                <w:sz w:val="52"/>
              </w:rPr>
              <w:t>南京市栖霞区人力资源和社会保障局</w:t>
            </w:r>
            <w:r>
              <w:rPr>
                <w:rFonts w:ascii="宋体" w:hAnsi="宋体" w:cs="宋体" w:eastAsia="宋体"/>
                <w:b w:val="true"/>
                <w:sz w:val="52"/>
              </w:rPr>
              <w:t xml:space="preserve"></w:t>
              <w:br w:type="textWrapping"/>
              <w:t>部门预算公开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2022</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70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1、贯彻执行人力资源和社会保障事业发展政策法规和规划，编制全区人力资源和社会保障事业发展规划和年度工作计划并组织实施。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2、拟定并组织实施全区人力资源市场发展规划，贯彻执行人力资源服务业发展、人力资源流动政策，负责人力资源服务机构管理工作，负责人力资源市场监管工作。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3、负责促进就业工作，拟定全区就业创业发展规划和政策，完善公共就业创业服务体系；统筹建立面向城乡劳动者的职业技能培训制度，拟订就业援助制度，牵头落实高校毕业生就业政策。</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4、统筹建立和完善覆盖全区的多层次社会保障体系，贯彻实施养老保险全国和省市统筹办法以及全国统一的养老、失业、工伤等社会保险关系转续办法，执行养老、失业、工伤等社会保险及其补充保险政策和标准。会同有关部门实施全民参保计划并建立全区统一的社会保险公共服务平台。</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5、负责全区就业、失业的预测预警和信息引导，拟定应对预案，实施监管调控，保持就业形势稳定。</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6、按照职责分工负责相关人才工作，组织实施重点人才工程和项目计划。推进深化职称制度改革，贯彻执行专业技术人员管理、继续教育等政策，负责高层次专业技术人才及专家选拔、培养、服务工作，落实吸引留学人员来本区工作或定居的政策。组织实施技能人才培养、评价、使用和激励制度。</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7、会同有关部门指导全区事业单位人事制度改革，按照管理权限负责规范事业单位岗位设置、公开招聘、聘用合同等人事综合管理工作，贯彻执行国家、省、市事业单位工作人员和机关工勤人员管理政策。</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8、贯彻执行劳动关系政策，完善劳动关系协商协调机制，对劳动标准执行实施监管。会同有关部门推动落实农民工工作相关政策，协调解决重点难点问题，维护农民工合法权益。</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9、落实事业单位人员工资收入分配政策，负责全区事业单位工资福利管理工作；贯彻执行企业工资指导线、最低工资标准及国家有关行业工资收入调节政策。</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10、贯彻执行劳动人事争议调解仲裁办法并组织实施，受理处理劳动人事争议案件。组织实施劳动保障监察，协调劳动者维权工作，依法查处违法案件。</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11、组织实施国家表彰奖励制度，会同有关部门拟订全区表彰奖励制度，综合管理全区表彰奖励工作，承担全区创建评比达标表彰有关工作，根据授权承办以区委、区政府名义开展的区级表彰奖励活动。</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12、负责对街道人力资源和社会保障机构的工作业务指导。</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13、完成区委、区政府交办的其他任务。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1.</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办公室、劳动关系科、财务审计科、就业促进科（人才工作科）、职业能力培训科、事业单位人事管理科（专业技术人员管理科）、工资福利科（区表彰奖励办公室）、社会保险科、仲裁科、劳动监察科。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本部门下属单位包括:南京市栖霞区人才交流服务中心，南京市栖霞区社会保险管理中心，南京市栖霞区劳动就业管理中心，南京市栖霞区劳动保障监察大队，南京市栖霞区劳动人事争议仲裁院。</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2022</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6</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南京市栖霞区人力资源和社会保障局（本级），南京市栖霞区人才交流服务中心，南京市栖霞区社会保险管理中心，南京市栖霞区劳动就业管理中心，南京市栖霞区劳动保障监察大队，南京市栖霞区劳动人事争议仲裁院。</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2022</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突出政策落实，全力稳住就业创业“基本盘”。稳保就业仍是当前和今后一段时期人社工作的重中之重，全年要实现城镇新增就业2万人以上。要坚决强化就业优先政策。精准落实援企稳岗、就业见习等政策，充分释放政策红利，助推稳岗扩岗。实施紫金山英才宁聚计划，加强就业困难人员分类帮扶，紧扣产业需求多方筹集就业岗位，开展各类招聘活动30场以上，统筹重点群体就业。要大力推动创业带动就业。落实创业担保贷款、创业孵化基地奖补等扶持政策，加大对重点群体创业支持力度。更高水平建设创业孵化基地等载体，办好青年大学生创业大赛，做好优秀创业项目遴选，吸引更多优质项目落地。要扎实推进职业技能提升。与南京工业职业技术大学、技师学院等职业教育院校共建产业技能人才培养实训基地，探索推进产业发展与人才培养的有效融合。帮助企业进一步完善职工培训制度，充分发挥企业在职业培训工作中的重要作用。</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是突出全面覆盖，全力守牢民生兜底“保障线”。要深入推进全面参保计划。充分发挥区、街道、社区合力，组织开展社保政策宣传活动，提高参保覆盖面。联合交通、水利等行业主管部门，重点推进工伤保险“同舟计划”，加强社保扩面稽核，切实保障民工的合法权益。要全面落实社会保障制度。推进机关事业单位养老保险制度改革全面到位，确保城乡居民养老保险有序实施。精准落实社保待遇支付，确保按时、足额、准确发放。聚焦困难群体参保续保，强化社保兜底保障功能。要持续打造便捷服务体系。在全区社保业务经办点推广运用自助终端设备，构建窗口服务、线上服务、自助终端服务的全方位、一体化的服务体系，实现社会保险服务的信息化、便捷化、多元化。</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是突出引育并重，全力打造人才集聚“新高地”。要提高人才集聚能力。落细落实人才安居、租房补贴、面试补贴等举措，持续优化人才公共服务。围绕“海智湾”建设，吸引海外人才来宁创新创业。大力推进企业专家工作室、博站等载体建设，加强高层次人才引进开发力度。要加强事业单位管理。规范有序实施公开招聘，不断优化事业单位岗位结构比例和聘用管理。继续完善各系列职称初定和职称评审工作，进一步规范申报流程、严格审核申报材料。要做好表彰奖励工作。加强业务学习，提升政策把握力，切实发挥表彰奖励正向导向和激励作用。严把表彰推荐、严控表彰活动、严格表彰程序，做严做实表彰奖励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是突出劳动维权，全力防控社会和谐“风险点”。要强化劳动关系协商协调。促进集体协商扩面提质，推动行业性、区域性集体协商。加大对特殊时期企业劳动关系处理的指导服务，规范企业用工。要加强劳动监察执法维权。有序开展根治欠薪专项行动，加强问题排查，动态治理欠薪。推进“双随机一公开”监管机制，提升执法水平。及时公布重大劳动保障违法行为，加强联合惩戒。要增强劳动争议调处效能。强化部门联动与协同配合，加快推进栖霞区劳动人事争议调处中心建设，提升劳动领域矛盾纠纷多元化解能力。依法及时有效处理争议仲裁案件，确保结案率100%。</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是突出便民高效，全力打造人社服务“新标杆”。要深化“放管服”改革。大力实施人社服务快办行动，进一步减证便民、限时提效。对老年人等特殊群体，通过人工专窗、他人代办、上门服务等方式解决其实际困难。要强化信息化支撑。广泛宣传江苏政务服务平台、“我的南京”、栖霞区不见面审批系统等线上办理平台，大力推行电子社保卡，提升群众办事的体验感和便捷度。要深入一线主动服务。通过数据赋能、流程再造、政策敲门，让惠企利民政策精准对接，实现“政策找人、政策找企”，提升政策的到达率和兑现率。建立调研走访活动常态化机制，积极主动对接服务企业，着力解决企业反映强烈的突出问题。</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南京市栖霞区人力资源和社会保障局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31" w:type="dxa"/>
        <w:jc w:val="center"/>
        <w:tblLayout w:type="fixed"/>
        <w:tblCellMar>
          <w:top w:w="0" w:type="dxa"/>
          <w:left w:w="108" w:type="dxa"/>
          <w:bottom w:w="0" w:type="dxa"/>
          <w:right w:w="108" w:type="dxa"/>
        </w:tblCellMar>
      </w:tblPr>
      <w:tblGrid>
        <w:gridCol w:w="3908"/>
        <w:gridCol w:w="1869"/>
        <w:gridCol w:w="3704"/>
        <w:gridCol w:w="67"/>
        <w:gridCol w:w="1781"/>
        <w:gridCol w:w="2"/>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南京市栖霞区人力资源和社会保障局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15,952.08</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15,340.10</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611.98</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15,952.08</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15,952.08</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val="zh-CN" w:eastAsia="ar-SA"/>
              </w:rPr>
            </w:pPr>
            <w:r>
              <w:rPr>
                <w:rFonts w:hint="eastAsia" w:ascii="仿宋" w:hAnsi="仿宋" w:eastAsia="仿宋" w:cs="仿宋"/>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15,952.08</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支出</w:t>
            </w:r>
            <w:r>
              <w:rPr>
                <w:rFonts w:hint="eastAsia" w:ascii="仿宋" w:hAnsi="仿宋" w:eastAsia="仿宋" w:cs="仿宋"/>
                <w:b/>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15,952.08</w:t>
            </w:r>
          </w:p>
        </w:tc>
        <w:tc>
          <w:tcPr>
            <w:tcW w:w="2" w:type="dxa"/>
          </w:tcPr>
          <w:p>
            <w:pPr>
              <w:widowControl w:val="0"/>
              <w:jc w:val="left"/>
              <w:rPr>
                <w:rFonts w:hint="eastAsia" w:ascii="仿宋" w:hAnsi="仿宋" w:eastAsia="仿宋" w:cs="仿宋"/>
                <w:sz w:val="20"/>
              </w:rPr>
            </w:pP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149" w:type="dxa"/>
        <w:tblInd w:w="-25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097"/>
        <w:gridCol w:w="1800"/>
        <w:gridCol w:w="1063"/>
        <w:gridCol w:w="943"/>
        <w:gridCol w:w="789"/>
        <w:gridCol w:w="754"/>
        <w:gridCol w:w="686"/>
        <w:gridCol w:w="754"/>
        <w:gridCol w:w="754"/>
        <w:gridCol w:w="720"/>
        <w:gridCol w:w="754"/>
        <w:gridCol w:w="738"/>
        <w:gridCol w:w="720"/>
        <w:gridCol w:w="925"/>
        <w:gridCol w:w="772"/>
        <w:gridCol w:w="720"/>
        <w:gridCol w:w="754"/>
        <w:gridCol w:w="686"/>
        <w:gridCol w:w="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572"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南京市栖霞区人力资源和社会保障局</w:t>
            </w:r>
          </w:p>
        </w:tc>
        <w:tc>
          <w:tcPr>
            <w:tcW w:w="4577"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97"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1063"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7612"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577"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1097"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063"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897"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15,952.08</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15,952.08</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15,952.08</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316</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南京市栖霞区人力资源和社会保障局</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15,952.08</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15,952.08</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15,952.08</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316001</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南京市栖霞区人力资源和社会保障局（机关）</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2,416.16</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2,416.16</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2,416.16</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316002</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南京市栖霞区人才交流服务中心</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120.13</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120.13</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120.13</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316003</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南京市栖霞区社会保险管理中心</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5,030.71</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5,030.71</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5,030.71</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316004</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南京市栖霞区劳动就业管理中心</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8,078.00</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8,078.00</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8,078.00</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316005</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南京市栖霞区劳动保障监察大队</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134.84</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134.84</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134.84</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316006</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南京市栖霞区劳动人事争议仲裁院</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172.24</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172.24</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172.24</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57" w:right="0" w:firstLine="221" w:firstLineChars="100"/>
        <w:jc w:val="left"/>
        <w:rPr>
          <w:rFonts w:hint="eastAsia" w:ascii="仿宋" w:hAnsi="仿宋" w:eastAsia="仿宋" w:cs="仿宋"/>
          <w:b/>
          <w:bCs/>
          <w:sz w:val="22"/>
          <w:szCs w:val="22"/>
        </w:rPr>
        <w:sectPr>
          <w:footerReference r:id="rId9" w:type="default"/>
          <w:pgSz w:w="16838" w:h="11906" w:orient="landscape"/>
          <w:pgMar w:top="720" w:right="720" w:bottom="720" w:left="5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南京市栖霞区人力资源和社会保障局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15,952.08</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3,298.23</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12,653.85</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15,340.10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2,686.25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12,653.85</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人力资源和社会保障管理事务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3,532.80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2,686.25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846.55</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2080101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2,005.22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1,925.22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2080103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机关服务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11.65</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2080104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综合业务管理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2080105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劳动保障监察</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89.88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79.88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2080106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就业管理事务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223.01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223.01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2080107</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社会保险业务管理事务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851.96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264.96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587.00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2080109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社会保险经办机构</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2080110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劳动关系和维权</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105.76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105.76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2080112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劳动人事争议调解仲裁</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0.40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0.40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2080150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事业运行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87.42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87.42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2080199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其他人力资源和社会保障管理事务支出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135.50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135.50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20825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其他生活救助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2082501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其他城市生活救助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11,726.30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11,726.30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2089999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11,726.30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11,726.30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611.98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611.98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611.98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611.98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193.25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193.25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418.73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418.73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南京市栖霞区人力资源和社会保障局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15,952.08</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15,952.08</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15,952.08</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15,340.10</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611.98</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15,952.08</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15,952.08</w:t>
            </w:r>
          </w:p>
        </w:tc>
      </w:tr>
    </w:tbl>
    <w:p>
      <w:pPr>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南京市栖霞区人力资源和社会保障局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15,952.08</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3,298.23</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3,181.87</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116.36</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12,653.85</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15,340.10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2,686.25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2,569.89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116.36</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12,653.85</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人力资源和社会保障管理事务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3,532.80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2,686.25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2,569.89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116.36</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846.55</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2080101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2,005.22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1,925.22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1,877.93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47.29</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2080103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机关服务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11.65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11.65</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2080104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综合业务管理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2080105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劳动保障监察</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89.88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79.88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68.51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11.37</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2080106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就业管理事务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223.01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223.01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209.21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13.80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2080107</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社会保险业务管理事务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851.96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264.96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239.03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25.93</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587.00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2080109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社会保险经办机构</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2080110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劳动关系和维权</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105.76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105.76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94.31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11.45</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2080112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劳动人事争议调解仲裁</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0.40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0.40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2080150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事业运行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87.42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87.42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80.90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6.52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2080199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其他人力资源和社会保障管理事务支出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135.50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135.50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20825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其他生活救助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81.00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81.00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2082501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其他城市生活救助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81.00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81.00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11,726.30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11,726.30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2089999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11,726.30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11,726.30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611.98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611.98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611.98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611.98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611.98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611.98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193.25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193.25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193.25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418.73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418.73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418.73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南京市栖霞区人力资源和社会保障局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3,298.23</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3,181.87</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116.36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1,746.74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1,746.74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242.20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242.20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827.69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827.69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69.32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69.32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115.29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115.29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121.71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121.71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60.86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60.86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68.45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68.45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193.25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193.25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116.36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116.36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37.53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37.53</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32.11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32.11</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153.13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153.13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145.37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145.37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1,282.00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1,282.00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1,282.00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1,282.00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南京市栖霞区人力资源和社会保障局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15,952.08</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3,298.23</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3,181.87</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116.36</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12,653.85</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15,340.10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2,686.25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2,569.89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116.36</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12,653.85</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人力资源和社会保障管理事务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3,532.80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2,686.25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2,569.89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116.36</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846.55</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2080101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2,005.22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1,925.22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1,877.93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47.29</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2080103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机关服务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11.65</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2080104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综合业务管理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2080105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劳动保障监察</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89.88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79.88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68.51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11.37</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2080106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就业管理事务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223.01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223.01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209.21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2080107</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社会保险业务管理事务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851.96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264.96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239.03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25.93</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587.00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2080109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社会保险经办机构</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2080110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劳动关系和维权</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105.76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105.76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94.31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11.45</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2080112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劳动人事争议调解仲裁</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0.40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0.40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2080150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事业运行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87.42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87.42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80.90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2080199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其他人力资源和社会保障管理事务支出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135.50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135.50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20825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其他生活救助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2082501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其他城市生活救助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11,726.30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11,726.30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2089999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11,726.30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11,726.30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611.98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611.98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611.98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611.98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611.98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611.98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193.25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193.25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193.25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418.73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418.73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418.73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南京市栖霞区人力资源和社会保障局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3,298.23</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3,181.87</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116.36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1,746.74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1,746.74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242.20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242.20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827.69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827.69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69.32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69.32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115.29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115.29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121.71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121.71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60.86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60.86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68.45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68.45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193.25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193.25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116.36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116.36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37.53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37.53</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32.11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32.11</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153.13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153.13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145.37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145.37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1,282.00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1,282.00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1,282.00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1,282.00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南京市栖霞区人力资源和社会保障局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4.40</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南京市栖霞区人力资源和社会保障局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部门</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南京市栖霞区人力资源和社会保障局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南京市栖霞区人力资源和社会保障局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96.04</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96.04</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27.51</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邮电费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公务用车运行维护费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32.11</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6.62</w:t>
            </w:r>
          </w:p>
        </w:tc>
      </w:tr>
    </w:tbl>
    <w:p>
      <w:pPr>
        <w:numPr>
          <w:ilvl w:val="0"/>
          <w:numId w:val="0"/>
        </w:numPr>
        <w:tabs>
          <w:tab w:val="left" w:pos="0"/>
        </w:tabs>
        <w:spacing w:before="25" w:after="0"/>
        <w:ind w:left="-1" w:left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1320"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0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852"/>
        <w:gridCol w:w="1114"/>
        <w:gridCol w:w="965"/>
        <w:gridCol w:w="928"/>
        <w:gridCol w:w="1141"/>
        <w:gridCol w:w="1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86"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南京市栖霞区人力资源和社会保障局</w:t>
            </w:r>
          </w:p>
        </w:tc>
        <w:tc>
          <w:tcPr>
            <w:tcW w:w="414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355"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85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14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355"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355"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14.05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14.05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货物类</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14.05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14.05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南京市栖霞区人力资源和社会保障局（机关）</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5.58</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3.50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便携式计算机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激光打印机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0.81</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扫描仪</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其他台、桌类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0.17</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其他椅凳类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0.05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南京市栖霞区人才交流服务中心</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1.70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金属质柜类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南京市栖霞区社会保险管理中心</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4.30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便携式计算机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激光打印机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多功能一体机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2.50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南京市栖霞区劳动就业管理中心</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0.30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激光打印机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0.30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南京市栖霞区劳动保障监察大队</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1.77</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其他打印设备</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摄录一体机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0.17</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制服</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南京市栖霞区劳动人事争议仲裁院</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0.40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激光打印机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0.40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0.40</w:t>
            </w:r>
          </w:p>
        </w:tc>
      </w:tr>
    </w:tbl>
    <w:p>
      <w:pPr>
        <w:bidi w:val="0"/>
        <w:rPr>
          <w:rFonts w:hint="eastAsia" w:ascii="仿宋" w:hAnsi="仿宋" w:eastAsia="仿宋" w:cs="仿宋"/>
          <w:b/>
          <w:bCs/>
          <w:sz w:val="22"/>
          <w:szCs w:val="22"/>
        </w:rPr>
        <w:sectPr>
          <w:footerReference r:id="rId19" w:type="default"/>
          <w:pgSz w:w="16838" w:h="11906" w:orient="landscape"/>
          <w:pgMar w:top="1320" w:right="1100"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南京市栖霞区人力资源和社会保障局2022年度收入、支出预算总计15,952.08万元，与上年相比收、支预算总计各增加6,028.31万元，增长60.75%。</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（一）收入预算总计15,952.08万元。包括：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1．本年收入合计15,952.08万元。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（1）一般公共预算拨款收入15,952.08万元，与上年相比增加6,028.31万元，增长60.75%。主要原因是2022年市级下放三项补贴发放，涉及金额5520万元、新增老农保经费。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（二）支出预算总计15,952.08万元。包括：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1．本年支出合计15,952.08万元。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社会保障和就业支出（类）支出15,340.1万元，主要用于区人社局及下属单位运转经费和项目支出。与上年相比增加6,019.23万元，增长64.58%。主要原因是2022年市级下放三项补贴发放，涉及金额5520万元、新增老农保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（2）住房保障支出（类）支出611.98万元，主要用于住房公积金、住房补贴等支出。与上年相比增加9.08万元，增长1.51%。主要原因是政策性调整住房公积金、住房补贴。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南京市栖霞区人力资源和社会保障局2022年收入预算合计15,952.08万元，包括本年收入15,952.08万元，上年结转结余0万元。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本年一般公共预算收入15,952.08万元，占100%；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南京市栖霞区人力资源和社会保障局2022年支出预算合计15,952.08万元，其中：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基本支出3,298.23万元，占20.68%；</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项目支出12,653.85万元，占79.32%；</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力资源和社会保障局2022年度财政拨款收、支总预算15,952.08万元。与上年相比，财政拨款收、支总计各增加6,028.31万元，增长60.75%。主要原因是2022年市级下放三项补贴发放，涉及金额5520万元、新增老农保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力资源和社会保障局2022年财政拨款预算支出15,952.08万元，占本年支出合计的100%。与上年相比，财政拨款支出增加6,028.31万元，增长60.75%。主要原因是2022年市级下放三项补贴发放，涉及金额5520万元、新增老农保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1.人力资源和社会保障管理事务（款）行政运行（项）支出2,005.22万元，与上年相比增加197.26万元，增长10.91%。主要原因是政策性调整人员工资、公用经费。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2.人力资源和社会保障管理事务（款）机关服务（项）支出11.65万元，与上年相比增加11.65万元（去年预算数为0万元，无法计算增减比率）。主要原因是功能科目调整。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3.人力资源和社会保障管理事务（款）综合业务管理（项）支出5万元，与上年相比增加5万元（去年预算数为0万元，无法计算增减比率）。主要原因是功能科目调整。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4.人力资源和社会保障管理事务（款）劳动保障监察（项）支出89.88万元，与上年相比增加17.51万元，增长24.2%。主要原因是政策性调整工资、住房公积金、住房补贴。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5.人力资源和社会保障管理事务（款）就业管理事务（项）支出223.01万元，与上年相比减少137.53万元，减少38.15%。主要原因是人员经费减少。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6.人力资源和社会保障管理事务（款）社会保险业务管理事务（项）支出851.96万元，与上年相比增加591.54万元，增长227.15%。主要原因是2022年新增老农保经费、各项民生补助标准提高。</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7.人力资源和社会保障管理事务（款）社会保险经办机构（项）支出17万元，与上年相比减少4,022.3万元，减少99.58%。主要原因是功能科目调整。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8.人力资源和社会保障管理事务（款）劳动关系和维权（项）支出105.76万元，与上年相比增加17.42万元，增长19.72%。主要原因是政策性调整工资、住房公积金、住房补贴。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9.人力资源和社会保障管理事务（款）劳动人事争议调解仲裁（项）支出0.4万元，与上年相比减少5.9万元，减少93.65%。主要原因是厉行节约。</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10.人力资源和社会保障管理事务（款）事业运行（项）支出87.42万元，与上年相比增加17.08万元，增长24.28%。主要原因是人员增加。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11.人力资源和社会保障管理事务（款）其他人力资源和社会保障管理事务支出（项）支出135.5万元，与上年相比减少93.1万元，减少40.73%。主要原因是功能科目调整。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12.其他生活救助（款）其他城市生活救助（项）支出81万元，与上年相比增加3万元，增长3.85%。主要原因是原支边等人员老年生活补助标准提高。</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13.其他社会保障和就业支出（款）其他社会保障和就业支出（项）支出11,726.3万元，与上年相比增加11,217.6万元，增长2,205.15%。主要原因是功能科目调整。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1.住房改革支出（款）住房公积金（项）支出193.25万元，与上年相比增加2.92万元，增长1.53%。主要原因是政策性调整住房公积金。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2.住房改革支出（款）购房补贴（项）支出418.73万元，与上年相比增加6.16万元，增长1.49%。主要原因是政策性调整购房补贴。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南京市栖霞区人力资源和社会保障局2022年度财政拨款基本支出预算3,298.23万元，其中：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3,181.87万元。主要包括：基本工资、津贴补贴、奖金、伙食补助费、绩效工资、机关事业单位基本养老保险缴费、职业年金缴费、职工基本医疗保险缴费、其他社会保障缴费、住房公积金、其他工资福利支出、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（二）公用经费116.36万元。主要包括：办公费、邮电费、差旅费、会议费、培训费、公务接待费、工会经费、公务用车运行维护费、其他交通费用、其他商品和服务支出。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南京市栖霞区人力资源和社会保障局2022年一般公共预算财政拨款支出预算15,952.08万元，与上年相比增加6,028.31万元，增长60.75%。主要原因是2022年市级下放三项补贴发放，涉及金额5520万元、新增老农保经费。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南京市栖霞区人力资源和社会保障局2022年度一般公共预算财政拨款基本支出预算3,298.23万元，其中：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3,181.87万元。主要包括：基本工资、津贴补贴、奖金、伙食补助费、绩效工资、机关事业单位基本养老保险缴费、职业年金缴费、职工基本医疗保险缴费、其他社会保障缴费、住房公积金、其他工资福利支出、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（二）公用经费116.36万元。主要包括：办公费、邮电费、差旅费、会议费、培训费、公务接待费、工会经费、公务用车运行维护费、其他交通费用、其他商品和服务支出。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力资源和社会保障局2022年度一般公共预算拨款安排的“三公”经费预算支出中，因公出国（境）费支出0万元，占“三公”经费的0%；公务用车购置及运行维护费支出3.4万元，占“三公”经费的77.27%；公务接待费支出1万元，占“三公”经费的22.73%。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2．公务用车购置及运行维护费预算支出3.4万元。其中：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（2）公务用车运行维护费预算支出3.4万元，比上年预算增加0.5万元，主要原因是公务用车运行维护成本提高。</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3．公务接待费预算支出1万元，与上年预算数相同。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南京市栖霞区人力资源和社会保障局2022年度一般公共预算拨款安排的会议费预算支出1.7万元，比上年预算增加0.3万元，主要原因是工作开展需要。</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南京市栖霞区人力资源和社会保障局2022年度一般公共预算拨款安排的培训费预算支出6.7万元，比上年预算减少504万元，主要原因是功能科目调整。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南京市栖霞区人力资源和社会保障局2022年政府性基金支出预算支出0万元。与上年预算数相同。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南京市栖霞区人力资源和社会保障局2022年国有资本经营预算支出0万元。与上年预算数相同。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2022年本部门一般公共预算机关运行经费预算支出96.04万元。与上年相比减少4.84万元，减少4.8%。主要原因是厉行节约。</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2022年度政府采购支出预算总额14.05万元，其中：拟采购货物支出14.05万元、拟采购工程支出0万元、拟购买服务支出0万元。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1辆，其中，一般公务用车0辆、执法执勤用车1辆、特种专业技术用车0辆、业务用车0辆、其他用车0辆等。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2022年度，本部门整体支出纳入绩效目标管理，涉及四本预算资金15,952.08万元；本部门共19个项目纳入绩效目标管理，涉及四本预算资金合计12,653.85万元，占四本预算资金(基本支出除外)总额的比例为100%。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八、社会保障和就业支出(类)人力资源和社会保障管理事务(款)行政运行(项)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九、社会保障和就业支出(类)人力资源和社会保障管理事务(款)机关服务(项)</w:t>
      </w:r>
      <w:r>
        <w:rPr>
          <w:rFonts w:ascii="仿宋" w:hAnsi="仿宋" w:cs="仿宋" w:eastAsia="仿宋"/>
          <w:b w:val="true"/>
        </w:rPr>
        <w:t>：</w:t>
      </w:r>
      <w:r>
        <w:rPr>
          <w:rFonts w:hint="eastAsia" w:ascii="仿宋" w:hAnsi="仿宋" w:eastAsia="仿宋" w:cs="仿宋"/>
        </w:rPr>
        <w:t>反映为行政单位（包括实行公务员管理的事业单位）提供后勤服务的各类后勤服务中心、医务室等附属事业单位的支出。其他事业单位的支出，凡单独设置了项级科目的，在单独设置的项级科目中反映。未单设项级科目的，在“其他”项级科目中反映。</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十、社会保障和就业支出(类)人力资源和社会保障管理事务(款)综合业务管理(项)</w:t>
      </w:r>
      <w:r>
        <w:rPr>
          <w:rFonts w:ascii="仿宋" w:hAnsi="仿宋" w:cs="仿宋" w:eastAsia="仿宋"/>
          <w:b w:val="true"/>
        </w:rPr>
        <w:t>：</w:t>
      </w:r>
      <w:r>
        <w:rPr>
          <w:rFonts w:hint="eastAsia" w:ascii="仿宋" w:hAnsi="仿宋" w:eastAsia="仿宋" w:cs="仿宋"/>
        </w:rPr>
        <w:t>反映人力资源和社会保障管理方面综合性管理事务支出。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十一、社会保障和就业支出(类)人力资源和社会保障管理事务(款)劳动保障监察(项)</w:t>
      </w:r>
      <w:r>
        <w:rPr>
          <w:rFonts w:ascii="仿宋" w:hAnsi="仿宋" w:cs="仿宋" w:eastAsia="仿宋"/>
          <w:b w:val="true"/>
        </w:rPr>
        <w:t>：</w:t>
      </w:r>
      <w:r>
        <w:rPr>
          <w:rFonts w:hint="eastAsia" w:ascii="仿宋" w:hAnsi="仿宋" w:eastAsia="仿宋" w:cs="仿宋"/>
        </w:rPr>
        <w:t>反映劳动保障监察事务支出。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十二、社会保障和就业支出(类)人力资源和社会保障管理事务(款)就业管理事务(项)</w:t>
      </w:r>
      <w:r>
        <w:rPr>
          <w:rFonts w:ascii="仿宋" w:hAnsi="仿宋" w:cs="仿宋" w:eastAsia="仿宋"/>
          <w:b w:val="true"/>
        </w:rPr>
        <w:t>：</w:t>
      </w:r>
      <w:r>
        <w:rPr>
          <w:rFonts w:hint="eastAsia" w:ascii="仿宋" w:hAnsi="仿宋" w:eastAsia="仿宋" w:cs="仿宋"/>
        </w:rPr>
        <w:t>反映就业和职业技能鉴定管理方面的支出。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十三、社会保障和就业支出(类)人力资源和社会保障管理事务(款)社会保险业务管理事务(项)</w:t>
      </w:r>
      <w:r>
        <w:rPr>
          <w:rFonts w:ascii="仿宋" w:hAnsi="仿宋" w:cs="仿宋" w:eastAsia="仿宋"/>
          <w:b w:val="true"/>
        </w:rPr>
        <w:t>：</w:t>
      </w:r>
      <w:r>
        <w:rPr>
          <w:rFonts w:hint="eastAsia" w:ascii="仿宋" w:hAnsi="仿宋" w:eastAsia="仿宋" w:cs="仿宋"/>
        </w:rPr>
        <w:t>反映社会保险业务管理和基金监督方面的支出。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十四、社会保障和就业支出(类)人力资源和社会保障管理事务(款)社会保险经办机构(项)</w:t>
      </w:r>
      <w:r>
        <w:rPr>
          <w:rFonts w:ascii="仿宋" w:hAnsi="仿宋" w:cs="仿宋" w:eastAsia="仿宋"/>
          <w:b w:val="true"/>
        </w:rPr>
        <w:t>：</w:t>
      </w:r>
      <w:r>
        <w:rPr>
          <w:rFonts w:hint="eastAsia" w:ascii="仿宋" w:hAnsi="仿宋" w:eastAsia="仿宋" w:cs="仿宋"/>
        </w:rPr>
        <w:t>反映社会保险经办机构开展业务工作的支出。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十五、社会保障和就业支出(类)人力资源和社会保障管理事务(款)劳动关系和维权(项)</w:t>
      </w:r>
      <w:r>
        <w:rPr>
          <w:rFonts w:ascii="仿宋" w:hAnsi="仿宋" w:cs="仿宋" w:eastAsia="仿宋"/>
          <w:b w:val="true"/>
        </w:rPr>
        <w:t>：</w:t>
      </w:r>
      <w:r>
        <w:rPr>
          <w:rFonts w:hint="eastAsia" w:ascii="仿宋" w:hAnsi="仿宋" w:eastAsia="仿宋" w:cs="仿宋"/>
        </w:rPr>
        <w:t>反映劳动关系和维权事务支出。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十六、社会保障和就业支出(类)人力资源和社会保障管理事务(款)劳动人事争议调解仲裁(项)</w:t>
      </w:r>
      <w:r>
        <w:rPr>
          <w:rFonts w:ascii="仿宋" w:hAnsi="仿宋" w:cs="仿宋" w:eastAsia="仿宋"/>
          <w:b w:val="true"/>
        </w:rPr>
        <w:t>：</w:t>
      </w:r>
      <w:r>
        <w:rPr>
          <w:rFonts w:hint="eastAsia" w:ascii="仿宋" w:hAnsi="仿宋" w:eastAsia="仿宋" w:cs="仿宋"/>
        </w:rPr>
        <w:t>反映仲裁机构实体化建设、办案经费、调解仲裁能力建设等支出。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十七、社会保障和就业支出(类)人力资源和社会保障管理事务(款)事业运行(项)</w:t>
      </w:r>
      <w:r>
        <w:rPr>
          <w:rFonts w:ascii="仿宋" w:hAnsi="仿宋" w:cs="仿宋" w:eastAsia="仿宋"/>
          <w:b w:val="true"/>
        </w:rPr>
        <w:t>：</w:t>
      </w:r>
      <w:r>
        <w:rPr>
          <w:rFonts w:hint="eastAsia" w:ascii="仿宋" w:hAnsi="仿宋" w:eastAsia="仿宋" w:cs="仿宋"/>
        </w:rPr>
        <w:t>反映事业单位的基本支出，不包括行政单位（包括实行公务员管理的事业单位）后勤服务中心、医务室等附属事业单位。</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十八、社会保障和就业支出(类)人力资源和社会保障管理事务(款)其他人力资源和社会保障管理事务支出(项)</w:t>
      </w:r>
      <w:r>
        <w:rPr>
          <w:rFonts w:ascii="仿宋" w:hAnsi="仿宋" w:cs="仿宋" w:eastAsia="仿宋"/>
          <w:b w:val="true"/>
        </w:rPr>
        <w:t>：</w:t>
      </w:r>
      <w:r>
        <w:rPr>
          <w:rFonts w:hint="eastAsia" w:ascii="仿宋" w:hAnsi="仿宋" w:eastAsia="仿宋" w:cs="仿宋"/>
        </w:rPr>
        <w:t>反映除上述项目以外其他用于人力资源和社会保障管理事务方面的支出。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十九、社会保障和就业支出(类)其他生活救助(款)其他城市生活救助(项)</w:t>
      </w:r>
      <w:r>
        <w:rPr>
          <w:rFonts w:ascii="仿宋" w:hAnsi="仿宋" w:cs="仿宋" w:eastAsia="仿宋"/>
          <w:b w:val="true"/>
        </w:rPr>
        <w:t>：</w:t>
      </w:r>
      <w:r>
        <w:rPr>
          <w:rFonts w:hint="eastAsia" w:ascii="仿宋" w:hAnsi="仿宋" w:eastAsia="仿宋" w:cs="仿宋"/>
        </w:rPr>
        <w:t>反映除最低生活保障、临时救助、特困人员救助供养外，用于城市生活困难居民生活救助的其他支出，包括用于除优抚对象、失业人员之外城市生活困难居民的价格临时补贴支出。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二十、社会保障和就业支出(类)其他社会保障和就业支出(款)其他社会保障和就业支出(项)</w:t>
      </w:r>
      <w:r>
        <w:rPr>
          <w:rFonts w:ascii="仿宋" w:hAnsi="仿宋" w:cs="仿宋" w:eastAsia="仿宋"/>
          <w:b w:val="true"/>
        </w:rPr>
        <w:t>：</w:t>
      </w:r>
      <w:r>
        <w:rPr>
          <w:rFonts w:hint="eastAsia" w:ascii="仿宋" w:hAnsi="仿宋" w:eastAsia="仿宋" w:cs="仿宋"/>
        </w:rPr>
        <w:t>反映除上述项目以外其他用于社会保障和就业方面的支出。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二十二、住房保障支出(类)住房改革支出(款)购房补贴(项)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9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南京市栖霞区人力资源和社会保障局</w:t>
    </w:r>
    <w:r>
      <w:t>2022</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B339C"/>
    <w:rsid w:val="05FE3016"/>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201C61"/>
    <w:rsid w:val="10223EE6"/>
    <w:rsid w:val="1027035F"/>
    <w:rsid w:val="102A69EF"/>
    <w:rsid w:val="103D6600"/>
    <w:rsid w:val="10566122"/>
    <w:rsid w:val="106204CB"/>
    <w:rsid w:val="10A90FB7"/>
    <w:rsid w:val="10EE0376"/>
    <w:rsid w:val="10F05AC0"/>
    <w:rsid w:val="11037A82"/>
    <w:rsid w:val="1106739D"/>
    <w:rsid w:val="11092167"/>
    <w:rsid w:val="110C3973"/>
    <w:rsid w:val="110D47B0"/>
    <w:rsid w:val="11110225"/>
    <w:rsid w:val="111930E1"/>
    <w:rsid w:val="11252430"/>
    <w:rsid w:val="1143676B"/>
    <w:rsid w:val="11471791"/>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933F94"/>
    <w:rsid w:val="14A601B4"/>
    <w:rsid w:val="14AA0D30"/>
    <w:rsid w:val="14BA3B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63B76"/>
    <w:rsid w:val="1B394ECA"/>
    <w:rsid w:val="1B401513"/>
    <w:rsid w:val="1B6F2A95"/>
    <w:rsid w:val="1B7011A6"/>
    <w:rsid w:val="1B785235"/>
    <w:rsid w:val="1B792ACF"/>
    <w:rsid w:val="1B840862"/>
    <w:rsid w:val="1B894395"/>
    <w:rsid w:val="1BB55613"/>
    <w:rsid w:val="1BC50E0F"/>
    <w:rsid w:val="1BC6758D"/>
    <w:rsid w:val="1BC84BF9"/>
    <w:rsid w:val="1BCA1AE9"/>
    <w:rsid w:val="1BD968B0"/>
    <w:rsid w:val="1BE008E5"/>
    <w:rsid w:val="1BE426E0"/>
    <w:rsid w:val="1BEF5EDC"/>
    <w:rsid w:val="1BF3045F"/>
    <w:rsid w:val="1C0C63DC"/>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906641"/>
    <w:rsid w:val="1D93356C"/>
    <w:rsid w:val="1D951979"/>
    <w:rsid w:val="1DA8336C"/>
    <w:rsid w:val="1DAF110E"/>
    <w:rsid w:val="1DB61054"/>
    <w:rsid w:val="1DB87467"/>
    <w:rsid w:val="1DC94431"/>
    <w:rsid w:val="1DD028C9"/>
    <w:rsid w:val="1DF402E5"/>
    <w:rsid w:val="1E107489"/>
    <w:rsid w:val="1E120047"/>
    <w:rsid w:val="1E2456FC"/>
    <w:rsid w:val="1E2B042A"/>
    <w:rsid w:val="1E387717"/>
    <w:rsid w:val="1E4314E9"/>
    <w:rsid w:val="1E5227F5"/>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76D10"/>
    <w:rsid w:val="21866291"/>
    <w:rsid w:val="218F0CEB"/>
    <w:rsid w:val="218F78F2"/>
    <w:rsid w:val="21A55BAA"/>
    <w:rsid w:val="21D50133"/>
    <w:rsid w:val="21EA64FE"/>
    <w:rsid w:val="223D4452"/>
    <w:rsid w:val="223F0861"/>
    <w:rsid w:val="224F77DA"/>
    <w:rsid w:val="227347E3"/>
    <w:rsid w:val="227D4749"/>
    <w:rsid w:val="22812FB7"/>
    <w:rsid w:val="229E476C"/>
    <w:rsid w:val="22B66C67"/>
    <w:rsid w:val="22B96619"/>
    <w:rsid w:val="22C32A6D"/>
    <w:rsid w:val="22C9349D"/>
    <w:rsid w:val="22CF4CB9"/>
    <w:rsid w:val="22E5714F"/>
    <w:rsid w:val="22E640D2"/>
    <w:rsid w:val="22F9307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5628C1"/>
    <w:rsid w:val="2F5A61EE"/>
    <w:rsid w:val="2F6E6218"/>
    <w:rsid w:val="2F81781A"/>
    <w:rsid w:val="2FBA6AB0"/>
    <w:rsid w:val="2FDA5233"/>
    <w:rsid w:val="2FDC3277"/>
    <w:rsid w:val="30091058"/>
    <w:rsid w:val="30186987"/>
    <w:rsid w:val="302E6035"/>
    <w:rsid w:val="30396B3B"/>
    <w:rsid w:val="303B5C37"/>
    <w:rsid w:val="303D3D8D"/>
    <w:rsid w:val="30410449"/>
    <w:rsid w:val="304B34C7"/>
    <w:rsid w:val="304F51A4"/>
    <w:rsid w:val="30687159"/>
    <w:rsid w:val="306F3884"/>
    <w:rsid w:val="307953E8"/>
    <w:rsid w:val="30907ADE"/>
    <w:rsid w:val="30926BF6"/>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305658"/>
    <w:rsid w:val="3F4C1C29"/>
    <w:rsid w:val="3F545C32"/>
    <w:rsid w:val="3F8A3D39"/>
    <w:rsid w:val="3F8D0174"/>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501155"/>
    <w:rsid w:val="405229A9"/>
    <w:rsid w:val="405C35C7"/>
    <w:rsid w:val="407E4D25"/>
    <w:rsid w:val="409E45E2"/>
    <w:rsid w:val="40A52125"/>
    <w:rsid w:val="40B61FF8"/>
    <w:rsid w:val="40BB734D"/>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2125B2B"/>
    <w:rsid w:val="424D1C7F"/>
    <w:rsid w:val="425846A6"/>
    <w:rsid w:val="42624E34"/>
    <w:rsid w:val="427F218F"/>
    <w:rsid w:val="42840AD6"/>
    <w:rsid w:val="428B63CF"/>
    <w:rsid w:val="42911805"/>
    <w:rsid w:val="429A2964"/>
    <w:rsid w:val="42AF67D0"/>
    <w:rsid w:val="42BC0E70"/>
    <w:rsid w:val="42C245CE"/>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C5080"/>
    <w:rsid w:val="44233849"/>
    <w:rsid w:val="44633603"/>
    <w:rsid w:val="44680AA6"/>
    <w:rsid w:val="446B500C"/>
    <w:rsid w:val="446E17AC"/>
    <w:rsid w:val="448508DF"/>
    <w:rsid w:val="448D7707"/>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A030B"/>
    <w:rsid w:val="4C09252B"/>
    <w:rsid w:val="4C1713D3"/>
    <w:rsid w:val="4C3D55C6"/>
    <w:rsid w:val="4C427E43"/>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A653F2"/>
    <w:rsid w:val="4DCC74BE"/>
    <w:rsid w:val="4DE03AC2"/>
    <w:rsid w:val="4DEF02BD"/>
    <w:rsid w:val="4DF03991"/>
    <w:rsid w:val="4DF221E2"/>
    <w:rsid w:val="4E002256"/>
    <w:rsid w:val="4E0911A0"/>
    <w:rsid w:val="4E0D72D8"/>
    <w:rsid w:val="4E383ED6"/>
    <w:rsid w:val="4E5172B9"/>
    <w:rsid w:val="4E560D60"/>
    <w:rsid w:val="4E564593"/>
    <w:rsid w:val="4E5A2684"/>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AE7560"/>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D1BC3"/>
    <w:rsid w:val="51200E5F"/>
    <w:rsid w:val="5123009E"/>
    <w:rsid w:val="512548E9"/>
    <w:rsid w:val="512C2CA7"/>
    <w:rsid w:val="512D289E"/>
    <w:rsid w:val="514152FB"/>
    <w:rsid w:val="51434ED1"/>
    <w:rsid w:val="51606C08"/>
    <w:rsid w:val="516445A0"/>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700D3"/>
    <w:rsid w:val="53811681"/>
    <w:rsid w:val="538A520F"/>
    <w:rsid w:val="538C6CFB"/>
    <w:rsid w:val="53933E3F"/>
    <w:rsid w:val="53B418CC"/>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60214E"/>
    <w:rsid w:val="6071387E"/>
    <w:rsid w:val="607207D7"/>
    <w:rsid w:val="607A75EB"/>
    <w:rsid w:val="60932B78"/>
    <w:rsid w:val="60B1182C"/>
    <w:rsid w:val="60B54E5F"/>
    <w:rsid w:val="60D67EB5"/>
    <w:rsid w:val="60E72435"/>
    <w:rsid w:val="60F1240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F12BA4"/>
    <w:rsid w:val="61F1712C"/>
    <w:rsid w:val="61FC795F"/>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35457B"/>
    <w:rsid w:val="663743A7"/>
    <w:rsid w:val="663B78CC"/>
    <w:rsid w:val="664C4D93"/>
    <w:rsid w:val="66645598"/>
    <w:rsid w:val="66713242"/>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8057F"/>
    <w:rsid w:val="699906A2"/>
    <w:rsid w:val="69AC12C2"/>
    <w:rsid w:val="69C411D0"/>
    <w:rsid w:val="69C62FFA"/>
    <w:rsid w:val="69D86C6D"/>
    <w:rsid w:val="69FA48D7"/>
    <w:rsid w:val="6A0D6DC9"/>
    <w:rsid w:val="6A341444"/>
    <w:rsid w:val="6A4A19BA"/>
    <w:rsid w:val="6A564EBF"/>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997C25"/>
    <w:rsid w:val="6E9C165A"/>
    <w:rsid w:val="6E9F07E1"/>
    <w:rsid w:val="6EA14A30"/>
    <w:rsid w:val="6EB6105A"/>
    <w:rsid w:val="6EC46D49"/>
    <w:rsid w:val="6EC629FF"/>
    <w:rsid w:val="6EC7282F"/>
    <w:rsid w:val="6ECA6C00"/>
    <w:rsid w:val="6F1C104C"/>
    <w:rsid w:val="6F26499B"/>
    <w:rsid w:val="6F2D024C"/>
    <w:rsid w:val="6F2D277B"/>
    <w:rsid w:val="6F2F3282"/>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73431"/>
    <w:rsid w:val="703C1CAA"/>
    <w:rsid w:val="703E1108"/>
    <w:rsid w:val="704B7EBD"/>
    <w:rsid w:val="7051053C"/>
    <w:rsid w:val="707F7FC1"/>
    <w:rsid w:val="70830694"/>
    <w:rsid w:val="7092075C"/>
    <w:rsid w:val="70A16710"/>
    <w:rsid w:val="70AF49AD"/>
    <w:rsid w:val="70CC6CCD"/>
    <w:rsid w:val="70E234A9"/>
    <w:rsid w:val="70E51433"/>
    <w:rsid w:val="71081951"/>
    <w:rsid w:val="710C10AD"/>
    <w:rsid w:val="71195FA1"/>
    <w:rsid w:val="711F23C1"/>
    <w:rsid w:val="71252C8F"/>
    <w:rsid w:val="712D7A96"/>
    <w:rsid w:val="71334F8E"/>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855EB9"/>
    <w:rsid w:val="7692691E"/>
    <w:rsid w:val="76996365"/>
    <w:rsid w:val="769A10D0"/>
    <w:rsid w:val="76C2349E"/>
    <w:rsid w:val="76CB35EC"/>
    <w:rsid w:val="76D054CE"/>
    <w:rsid w:val="76D10C55"/>
    <w:rsid w:val="76D276DD"/>
    <w:rsid w:val="76D85DAB"/>
    <w:rsid w:val="76EA2D88"/>
    <w:rsid w:val="76FC5ECA"/>
    <w:rsid w:val="77040C67"/>
    <w:rsid w:val="773B587C"/>
    <w:rsid w:val="773F6299"/>
    <w:rsid w:val="77416C82"/>
    <w:rsid w:val="774271F2"/>
    <w:rsid w:val="77453760"/>
    <w:rsid w:val="77473689"/>
    <w:rsid w:val="77653D55"/>
    <w:rsid w:val="776A7D9F"/>
    <w:rsid w:val="77734AD9"/>
    <w:rsid w:val="77767106"/>
    <w:rsid w:val="77786FD4"/>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8603E2"/>
    <w:rsid w:val="7D9B3D45"/>
    <w:rsid w:val="7D9C553A"/>
    <w:rsid w:val="7DBB346B"/>
    <w:rsid w:val="7DD0508B"/>
    <w:rsid w:val="7DE4119D"/>
    <w:rsid w:val="7DEE5B58"/>
    <w:rsid w:val="7DEF4E30"/>
    <w:rsid w:val="7E0B1390"/>
    <w:rsid w:val="7E2B13AE"/>
    <w:rsid w:val="7E676A56"/>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3386</Words>
  <Characters>7333</Characters>
  <Paragraphs>501</Paragraphs>
  <TotalTime>48</TotalTime>
  <ScaleCrop>false</ScaleCrop>
  <LinksUpToDate>false</LinksUpToDate>
  <CharactersWithSpaces>7399</CharactersWithSpaces>
  <Application>WPS Office_11.1.0.11294_F1E327BC-269C-435d-A152-05C5408002CA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有光的地方</cp:lastModifiedBy>
  <dcterms:modified xsi:type="dcterms:W3CDTF">2022-02-09T14:56:23Z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2052-11.1.0.11294</vt:lpwstr>
  </property>
  <property fmtid="{D5CDD505-2E9C-101B-9397-08002B2CF9AE}" pid="6" name="LastSaved">
    <vt:filetime>2021-04-15T00:00:00Z</vt:filetime>
  </property>
</Properties>
</file>