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栖霞区人民政府办公室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2019年政府信息公开工作年度报告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560" w:lineRule="exact"/>
        <w:ind w:left="0" w:right="0" w:firstLine="420"/>
        <w:textAlignment w:val="auto"/>
        <w:rPr>
          <w:rFonts w:hint="default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根据2019年5月15日施行的新修订的《中华人民共和国政府信息公开条例》（以下简称《政府信息公开条例》）规定，现公布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栖霞区</w:t>
      </w:r>
      <w:r>
        <w:rPr>
          <w:rFonts w:hint="default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人民政府办公室2019年政府信息公开工作年度报告。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一、总体情况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560" w:lineRule="exact"/>
        <w:ind w:right="0" w:firstLine="640" w:firstLineChars="200"/>
        <w:textAlignment w:val="auto"/>
        <w:rPr>
          <w:rFonts w:hint="default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2019年，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栖霞区</w:t>
      </w:r>
      <w:r>
        <w:rPr>
          <w:rFonts w:hint="default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人民政府办公室认真贯彻落实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新修订的</w:t>
      </w:r>
      <w:r>
        <w:rPr>
          <w:rFonts w:hint="default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《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中华人民共和国</w:t>
      </w:r>
      <w:r>
        <w:rPr>
          <w:rFonts w:hint="default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政府信息公开条例》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（下称新《条例》）</w:t>
      </w:r>
      <w:r>
        <w:rPr>
          <w:rFonts w:hint="default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，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紧紧围绕全区中心工作，</w:t>
      </w:r>
      <w:r>
        <w:rPr>
          <w:rFonts w:hint="default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切实履行政府信息公开工作主管职责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努力推动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全区</w:t>
      </w:r>
      <w:r>
        <w:rPr>
          <w:rFonts w:hint="default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政府信息公开工作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。坚持“以公开为常态，以不公开为例外”原则，不断加强政府信息主动公开力度，积极回应社会关切，保障了</w:t>
      </w:r>
      <w:r>
        <w:rPr>
          <w:rFonts w:hint="default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人民群众对政府工作的知情权、参与权、表达权和监督权，提升了群众的满意度。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5" w:beforeAutospacing="0" w:after="105" w:afterAutospacing="0" w:line="560" w:lineRule="exact"/>
        <w:ind w:right="0" w:firstLine="640" w:firstLineChars="200"/>
        <w:textAlignment w:val="auto"/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（一）及时开展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新</w:t>
      </w:r>
      <w:r>
        <w:rPr>
          <w:rFonts w:hint="default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《条例》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的</w:t>
      </w:r>
      <w:r>
        <w:rPr>
          <w:rFonts w:hint="default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学习培训。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新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《条例》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于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2019年5月15日正式实施后，本机关第一时间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转发省、市关于做好新《条例》施行有关工作的通知</w:t>
      </w:r>
      <w:r>
        <w:rPr>
          <w:rFonts w:hint="eastAsia" w:ascii="Times New Roman" w:hAnsi="Times New Roman" w:eastAsia="方正仿宋简体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牵头组织召开全区政府信息公开暨新《条例》培训解读会议，邀请上级主管部门负责人和法律专家进行授课，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参训人员近120人次。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在日常工作中，灵活采取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网上指导、座谈交流、案例分析等多种形式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对区各部门的信息公开工作进行督促引导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baseline"/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（二）</w:t>
      </w:r>
      <w:r>
        <w:rPr>
          <w:rFonts w:hint="default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严格执行政府信息主动公开要求。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本机关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按照新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《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条例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》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要求，根据机构改革后的机构设置情况，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牵头更新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2019年版《栖霞区政府信息公开指南》和《栖霞区政府信息公开申请须知》，更新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完善“信息公开目录”中的“区政府办公室”下设的公开目录、公开指南、信息年报等内容，将机构职能、政策法规、预决算信息、信息公开年报等信息主动公开。在“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信息公开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”栏目中及时发布重大行政决策事项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、财政预算决算情况、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重点工作任务分工方案等信息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2019年共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发布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政府信息80条，其中，政策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类文件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47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条，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解读材料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11条，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财政预决算类信息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条，通知公告类信息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条，机构职能类信息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12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条。</w:t>
      </w:r>
    </w:p>
    <w:p>
      <w:pPr>
        <w:pStyle w:val="3"/>
        <w:keepNext w:val="0"/>
        <w:keepLines w:val="0"/>
        <w:pageBreakBefore w:val="0"/>
        <w:widowControl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baseline"/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（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三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）</w:t>
      </w:r>
      <w:r>
        <w:rPr>
          <w:rFonts w:hint="default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依法答复政府信息公开申请。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2019年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本机关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共受理政府信息公开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申请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18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件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，全部按法定程序在规定的时间内办结，且无因信息公开申请导致的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行政复议和行政诉讼情况发生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。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督促区各部门、街道依照新《条例》进一步落实国家、省、市有关依申请公开办理程序，同时对复杂疑难的信息公开申请，执行协同办理、会商办理机制。全年组织相关协商会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22场，指导区各部门、街道依申请公开办理50余件。</w:t>
      </w:r>
    </w:p>
    <w:p>
      <w:pPr>
        <w:pStyle w:val="3"/>
        <w:keepNext w:val="0"/>
        <w:keepLines w:val="0"/>
        <w:pageBreakBefore w:val="0"/>
        <w:widowControl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baseline"/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（三）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严格落实政府信息管理审核工作。本机关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对发布的各类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政府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</w:rPr>
        <w:t>信息，</w:t>
      </w:r>
      <w:r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牵头制定并组织实施上网信息审核发布制度，形成“三级审核”的信息发布流程，一定程度上保证发布信息的质量和信息公开平台的安全性。</w:t>
      </w:r>
    </w:p>
    <w:p>
      <w:pPr>
        <w:spacing w:line="540" w:lineRule="exact"/>
        <w:ind w:firstLine="640" w:firstLineChars="200"/>
        <w:jc w:val="left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2"/>
          <w:szCs w:val="32"/>
        </w:rPr>
        <w:t>二、主动公开政府信息情况</w:t>
      </w:r>
    </w:p>
    <w:tbl>
      <w:tblPr>
        <w:tblStyle w:val="5"/>
        <w:tblW w:w="89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4"/>
        <w:gridCol w:w="1637"/>
        <w:gridCol w:w="1562"/>
        <w:gridCol w:w="16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960" w:type="dxa"/>
            <w:gridSpan w:val="4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第二十条第（一）项</w:t>
            </w:r>
          </w:p>
          <w:p>
            <w:pPr>
              <w:tabs>
                <w:tab w:val="left" w:pos="2866"/>
              </w:tabs>
              <w:spacing w:line="360" w:lineRule="exact"/>
              <w:ind w:firstLine="1960" w:firstLineChars="700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（行政法规、规章和规范性文件）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407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信息内容</w:t>
            </w:r>
          </w:p>
        </w:tc>
        <w:tc>
          <w:tcPr>
            <w:tcW w:w="163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本年新制作数量</w:t>
            </w:r>
          </w:p>
        </w:tc>
        <w:tc>
          <w:tcPr>
            <w:tcW w:w="156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本年新公开数量</w:t>
            </w:r>
          </w:p>
        </w:tc>
        <w:tc>
          <w:tcPr>
            <w:tcW w:w="168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对外公开总数量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4074" w:type="dxa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规章</w:t>
            </w:r>
          </w:p>
        </w:tc>
        <w:tc>
          <w:tcPr>
            <w:tcW w:w="1637" w:type="dxa"/>
          </w:tcPr>
          <w:p>
            <w:pPr>
              <w:spacing w:line="360" w:lineRule="exact"/>
              <w:jc w:val="left"/>
              <w:rPr>
                <w:rFonts w:ascii="Times New Roman" w:hAnsi="Times New Roman" w:eastAsia="方正楷体简体"/>
                <w:sz w:val="28"/>
                <w:szCs w:val="28"/>
              </w:rPr>
            </w:pPr>
            <w:r>
              <w:rPr>
                <w:rFonts w:ascii="Times New Roman" w:hAnsi="Times New Roman" w:eastAsia="方正楷体简体"/>
                <w:sz w:val="28"/>
                <w:szCs w:val="28"/>
              </w:rPr>
              <w:t>0</w:t>
            </w:r>
          </w:p>
        </w:tc>
        <w:tc>
          <w:tcPr>
            <w:tcW w:w="1562" w:type="dxa"/>
          </w:tcPr>
          <w:p>
            <w:pPr>
              <w:spacing w:line="360" w:lineRule="exact"/>
              <w:jc w:val="left"/>
              <w:rPr>
                <w:rFonts w:ascii="Times New Roman" w:hAnsi="Times New Roman" w:eastAsia="方正楷体简体"/>
                <w:sz w:val="28"/>
                <w:szCs w:val="28"/>
              </w:rPr>
            </w:pPr>
            <w:r>
              <w:rPr>
                <w:rFonts w:ascii="Times New Roman" w:hAnsi="Times New Roman" w:eastAsia="方正楷体简体"/>
                <w:sz w:val="28"/>
                <w:szCs w:val="28"/>
              </w:rPr>
              <w:t>0</w:t>
            </w:r>
          </w:p>
        </w:tc>
        <w:tc>
          <w:tcPr>
            <w:tcW w:w="1687" w:type="dxa"/>
          </w:tcPr>
          <w:p>
            <w:pPr>
              <w:spacing w:line="360" w:lineRule="exact"/>
              <w:jc w:val="left"/>
              <w:rPr>
                <w:rFonts w:ascii="Times New Roman" w:hAnsi="Times New Roman" w:eastAsia="方正楷体简体"/>
                <w:sz w:val="28"/>
                <w:szCs w:val="28"/>
              </w:rPr>
            </w:pPr>
            <w:r>
              <w:rPr>
                <w:rFonts w:ascii="Times New Roman" w:hAnsi="Times New Roman" w:eastAsia="方正楷体简体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4074" w:type="dxa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规范性文件</w:t>
            </w:r>
          </w:p>
        </w:tc>
        <w:tc>
          <w:tcPr>
            <w:tcW w:w="1637" w:type="dxa"/>
          </w:tcPr>
          <w:p>
            <w:pPr>
              <w:spacing w:line="360" w:lineRule="exact"/>
              <w:jc w:val="left"/>
              <w:rPr>
                <w:rFonts w:hint="eastAsia" w:ascii="Times New Roman" w:hAnsi="Times New Roman" w:eastAsia="方正楷体简体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楷体简体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562" w:type="dxa"/>
          </w:tcPr>
          <w:p>
            <w:pPr>
              <w:spacing w:line="360" w:lineRule="exact"/>
              <w:jc w:val="left"/>
              <w:rPr>
                <w:rFonts w:hint="eastAsia" w:ascii="Times New Roman" w:hAnsi="Times New Roman" w:eastAsia="方正楷体简体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楷体简体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687" w:type="dxa"/>
          </w:tcPr>
          <w:p>
            <w:pPr>
              <w:spacing w:line="360" w:lineRule="exact"/>
              <w:jc w:val="left"/>
              <w:rPr>
                <w:rFonts w:hint="eastAsia" w:ascii="Times New Roman" w:hAnsi="Times New Roman" w:eastAsia="方正楷体简体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楷体简体"/>
                <w:sz w:val="28"/>
                <w:szCs w:val="28"/>
                <w:lang w:val="en-US" w:eastAsia="zh-CN"/>
              </w:rPr>
              <w:t>0</w:t>
            </w:r>
          </w:p>
        </w:tc>
      </w:tr>
    </w:tbl>
    <w:p>
      <w:pPr>
        <w:jc w:val="left"/>
        <w:rPr>
          <w:rFonts w:ascii="Times New Roman" w:hAnsi="Times New Roman" w:eastAsia="方正仿宋简体" w:cs="Times New Roman"/>
          <w:sz w:val="30"/>
          <w:szCs w:val="30"/>
        </w:rPr>
      </w:pPr>
    </w:p>
    <w:tbl>
      <w:tblPr>
        <w:tblStyle w:val="5"/>
        <w:tblW w:w="89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4"/>
        <w:gridCol w:w="1637"/>
        <w:gridCol w:w="1562"/>
        <w:gridCol w:w="16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8960" w:type="dxa"/>
            <w:gridSpan w:val="4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第二十条第（五）项</w:t>
            </w:r>
          </w:p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（行政许可和其他对外管理服务事项的依据、条件、程序）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4074" w:type="dxa"/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信息内容</w:t>
            </w:r>
          </w:p>
        </w:tc>
        <w:tc>
          <w:tcPr>
            <w:tcW w:w="1637" w:type="dxa"/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上一年项目数量</w:t>
            </w:r>
          </w:p>
        </w:tc>
        <w:tc>
          <w:tcPr>
            <w:tcW w:w="1562" w:type="dxa"/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本年增/减</w:t>
            </w:r>
          </w:p>
        </w:tc>
        <w:tc>
          <w:tcPr>
            <w:tcW w:w="1687" w:type="dxa"/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4074" w:type="dxa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行政许可</w:t>
            </w:r>
          </w:p>
        </w:tc>
        <w:tc>
          <w:tcPr>
            <w:tcW w:w="1637" w:type="dxa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方正楷体简体"/>
                <w:sz w:val="28"/>
                <w:szCs w:val="28"/>
              </w:rPr>
              <w:t>0</w:t>
            </w:r>
          </w:p>
        </w:tc>
        <w:tc>
          <w:tcPr>
            <w:tcW w:w="1562" w:type="dxa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/>
                <w:sz w:val="28"/>
                <w:szCs w:val="28"/>
              </w:rPr>
              <w:t>0</w:t>
            </w:r>
          </w:p>
        </w:tc>
        <w:tc>
          <w:tcPr>
            <w:tcW w:w="1687" w:type="dxa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074" w:type="dxa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其他对外管理服务事项</w:t>
            </w:r>
          </w:p>
        </w:tc>
        <w:tc>
          <w:tcPr>
            <w:tcW w:w="1637" w:type="dxa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/>
                <w:sz w:val="28"/>
                <w:szCs w:val="28"/>
              </w:rPr>
              <w:t>0</w:t>
            </w:r>
          </w:p>
        </w:tc>
        <w:tc>
          <w:tcPr>
            <w:tcW w:w="1562" w:type="dxa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/>
                <w:sz w:val="28"/>
                <w:szCs w:val="28"/>
              </w:rPr>
              <w:t>0</w:t>
            </w:r>
          </w:p>
        </w:tc>
        <w:tc>
          <w:tcPr>
            <w:tcW w:w="1687" w:type="dxa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/>
                <w:sz w:val="28"/>
                <w:szCs w:val="28"/>
              </w:rPr>
              <w:t>0</w:t>
            </w:r>
          </w:p>
        </w:tc>
      </w:tr>
    </w:tbl>
    <w:p>
      <w:pPr>
        <w:jc w:val="left"/>
        <w:rPr>
          <w:rFonts w:ascii="Times New Roman" w:hAnsi="Times New Roman" w:eastAsia="方正仿宋简体" w:cs="Times New Roman"/>
          <w:sz w:val="30"/>
          <w:szCs w:val="30"/>
        </w:rPr>
      </w:pPr>
    </w:p>
    <w:tbl>
      <w:tblPr>
        <w:tblStyle w:val="5"/>
        <w:tblW w:w="89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83"/>
        <w:gridCol w:w="1640"/>
        <w:gridCol w:w="820"/>
        <w:gridCol w:w="745"/>
        <w:gridCol w:w="1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8980" w:type="dxa"/>
            <w:gridSpan w:val="5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第二十条第（六）项</w:t>
            </w:r>
          </w:p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（实施行政处罚、行政强制的依据、条件、程序）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4083" w:type="dxa"/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信息内容</w:t>
            </w:r>
          </w:p>
        </w:tc>
        <w:tc>
          <w:tcPr>
            <w:tcW w:w="1640" w:type="dxa"/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上一年项目数量</w:t>
            </w:r>
          </w:p>
        </w:tc>
        <w:tc>
          <w:tcPr>
            <w:tcW w:w="1565" w:type="dxa"/>
            <w:gridSpan w:val="2"/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本年增/减</w:t>
            </w:r>
          </w:p>
        </w:tc>
        <w:tc>
          <w:tcPr>
            <w:tcW w:w="1692" w:type="dxa"/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4083" w:type="dxa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行政处罚</w:t>
            </w:r>
          </w:p>
        </w:tc>
        <w:tc>
          <w:tcPr>
            <w:tcW w:w="1640" w:type="dxa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/>
                <w:sz w:val="28"/>
                <w:szCs w:val="28"/>
              </w:rPr>
              <w:t>0</w:t>
            </w:r>
          </w:p>
        </w:tc>
        <w:tc>
          <w:tcPr>
            <w:tcW w:w="1565" w:type="dxa"/>
            <w:gridSpan w:val="2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/>
                <w:sz w:val="28"/>
                <w:szCs w:val="28"/>
              </w:rPr>
              <w:t>0</w:t>
            </w:r>
          </w:p>
        </w:tc>
        <w:tc>
          <w:tcPr>
            <w:tcW w:w="1692" w:type="dxa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083" w:type="dxa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行政强制</w:t>
            </w:r>
          </w:p>
        </w:tc>
        <w:tc>
          <w:tcPr>
            <w:tcW w:w="1640" w:type="dxa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/>
                <w:sz w:val="28"/>
                <w:szCs w:val="28"/>
              </w:rPr>
              <w:t>0</w:t>
            </w:r>
          </w:p>
        </w:tc>
        <w:tc>
          <w:tcPr>
            <w:tcW w:w="1565" w:type="dxa"/>
            <w:gridSpan w:val="2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/>
                <w:sz w:val="28"/>
                <w:szCs w:val="28"/>
              </w:rPr>
              <w:t>0</w:t>
            </w:r>
          </w:p>
        </w:tc>
        <w:tc>
          <w:tcPr>
            <w:tcW w:w="1692" w:type="dxa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48" w:type="dxa"/>
            <w:gridSpan w:val="5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第二十条第（八）项</w:t>
            </w:r>
          </w:p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（行政事业型收费项目及其依据、标准）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69" w:type="dxa"/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信息内容</w:t>
            </w:r>
          </w:p>
        </w:tc>
        <w:tc>
          <w:tcPr>
            <w:tcW w:w="2460" w:type="dxa"/>
            <w:gridSpan w:val="2"/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上一年项目数量</w:t>
            </w:r>
          </w:p>
        </w:tc>
        <w:tc>
          <w:tcPr>
            <w:tcW w:w="2419" w:type="dxa"/>
            <w:gridSpan w:val="2"/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本年增/减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69" w:type="dxa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eastAsia="zh-CN"/>
              </w:rPr>
              <w:t>行政事业型收费</w:t>
            </w:r>
          </w:p>
        </w:tc>
        <w:tc>
          <w:tcPr>
            <w:tcW w:w="2460" w:type="dxa"/>
            <w:gridSpan w:val="2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方正楷体简体"/>
                <w:sz w:val="28"/>
                <w:szCs w:val="28"/>
              </w:rPr>
              <w:t>0</w:t>
            </w:r>
          </w:p>
        </w:tc>
        <w:tc>
          <w:tcPr>
            <w:tcW w:w="2419" w:type="dxa"/>
            <w:gridSpan w:val="2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方正楷体简体"/>
                <w:sz w:val="28"/>
                <w:szCs w:val="28"/>
              </w:rPr>
              <w:t>0</w:t>
            </w:r>
          </w:p>
        </w:tc>
      </w:tr>
    </w:tbl>
    <w:p>
      <w:pPr>
        <w:jc w:val="left"/>
        <w:rPr>
          <w:rFonts w:ascii="Times New Roman" w:hAnsi="Times New Roman" w:eastAsia="方正仿宋简体" w:cs="Times New Roman"/>
          <w:sz w:val="30"/>
          <w:szCs w:val="30"/>
        </w:rPr>
      </w:pPr>
    </w:p>
    <w:tbl>
      <w:tblPr>
        <w:tblStyle w:val="5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9"/>
        <w:gridCol w:w="2490"/>
        <w:gridCol w:w="24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9060" w:type="dxa"/>
            <w:gridSpan w:val="3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第二十条第（九）项</w:t>
            </w:r>
          </w:p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（政府集中采购项目的目录、标准和实施情况）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4119" w:type="dxa"/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信息内容</w:t>
            </w:r>
          </w:p>
        </w:tc>
        <w:tc>
          <w:tcPr>
            <w:tcW w:w="2490" w:type="dxa"/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采购项目数量</w:t>
            </w:r>
          </w:p>
        </w:tc>
        <w:tc>
          <w:tcPr>
            <w:tcW w:w="2451" w:type="dxa"/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采购总金额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4119" w:type="dxa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政府集中采购</w:t>
            </w:r>
          </w:p>
        </w:tc>
        <w:tc>
          <w:tcPr>
            <w:tcW w:w="2490" w:type="dxa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hint="default" w:ascii="Times New Roman" w:hAnsi="Times New Roman" w:eastAsia="方正楷体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  <w:t>13个</w:t>
            </w:r>
          </w:p>
        </w:tc>
        <w:tc>
          <w:tcPr>
            <w:tcW w:w="2451" w:type="dxa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hint="default" w:ascii="Times New Roman" w:hAnsi="Times New Roman" w:eastAsia="方正楷体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  <w:t>271.819万元</w:t>
            </w:r>
          </w:p>
        </w:tc>
      </w:tr>
    </w:tbl>
    <w:p>
      <w:pPr>
        <w:spacing w:line="540" w:lineRule="exact"/>
        <w:ind w:firstLine="600" w:firstLineChars="200"/>
        <w:jc w:val="left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t>三、收到和处理政府信息公开申请情况（邮寄+线上申请）</w:t>
      </w:r>
    </w:p>
    <w:tbl>
      <w:tblPr>
        <w:tblStyle w:val="4"/>
        <w:tblW w:w="925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11"/>
        <w:gridCol w:w="2272"/>
        <w:gridCol w:w="518"/>
        <w:gridCol w:w="671"/>
        <w:gridCol w:w="750"/>
        <w:gridCol w:w="1238"/>
        <w:gridCol w:w="1251"/>
        <w:gridCol w:w="628"/>
        <w:gridCol w:w="53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3664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第一项+第二项之和=第三项+第四项（请注意数量，不要出现原则性的错误和硬伤）</w:t>
            </w:r>
          </w:p>
        </w:tc>
        <w:tc>
          <w:tcPr>
            <w:tcW w:w="559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366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</w:p>
        </w:tc>
        <w:tc>
          <w:tcPr>
            <w:tcW w:w="5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自然人</w:t>
            </w:r>
          </w:p>
        </w:tc>
        <w:tc>
          <w:tcPr>
            <w:tcW w:w="45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法人或其他组织</w:t>
            </w:r>
          </w:p>
        </w:tc>
        <w:tc>
          <w:tcPr>
            <w:tcW w:w="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  <w:jc w:val="center"/>
        </w:trPr>
        <w:tc>
          <w:tcPr>
            <w:tcW w:w="366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5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商业企业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科研机构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社会公益组织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法律服务机构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其他</w:t>
            </w:r>
          </w:p>
        </w:tc>
        <w:tc>
          <w:tcPr>
            <w:tcW w:w="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  <w:jc w:val="center"/>
        </w:trPr>
        <w:tc>
          <w:tcPr>
            <w:tcW w:w="36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一、本年</w:t>
            </w: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新收</w:t>
            </w: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政府信息公开申请数量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hint="default" w:ascii="Times New Roman" w:hAnsi="Times New Roman" w:eastAsia="方正楷体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hint="default" w:ascii="Times New Roman" w:hAnsi="Times New Roman" w:eastAsia="方正楷体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  <w:t>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  <w:jc w:val="center"/>
        </w:trPr>
        <w:tc>
          <w:tcPr>
            <w:tcW w:w="36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二、上年</w:t>
            </w: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结转</w:t>
            </w: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政府信息公开申请数量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5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三、</w:t>
            </w: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本年度办理结果</w:t>
            </w:r>
          </w:p>
        </w:tc>
        <w:tc>
          <w:tcPr>
            <w:tcW w:w="3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（一）予以公开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5" w:hRule="atLeast"/>
          <w:jc w:val="center"/>
        </w:trPr>
        <w:tc>
          <w:tcPr>
            <w:tcW w:w="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3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（二）部分公开（区分处理的，只计这一情形，不计其他情形）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8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（三）不予公开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left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1、属于国家秘密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  <w:jc w:val="center"/>
        </w:trPr>
        <w:tc>
          <w:tcPr>
            <w:tcW w:w="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left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2、其他法律、行政法规禁止公开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  <w:jc w:val="center"/>
        </w:trPr>
        <w:tc>
          <w:tcPr>
            <w:tcW w:w="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left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3、危及“三安全一稳定”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  <w:jc w:val="center"/>
        </w:trPr>
        <w:tc>
          <w:tcPr>
            <w:tcW w:w="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left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4、保护第三方合法权益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  <w:jc w:val="center"/>
        </w:trPr>
        <w:tc>
          <w:tcPr>
            <w:tcW w:w="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left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5、属于三类内部事务信息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left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6、属于四类过程性信息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  <w:jc w:val="center"/>
        </w:trPr>
        <w:tc>
          <w:tcPr>
            <w:tcW w:w="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left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7、属于行政执法案卷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  <w:jc w:val="center"/>
        </w:trPr>
        <w:tc>
          <w:tcPr>
            <w:tcW w:w="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left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8、属于行政查询事项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  <w:jc w:val="center"/>
        </w:trPr>
        <w:tc>
          <w:tcPr>
            <w:tcW w:w="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8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（四）无法提供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left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1、本机关不掌握相关政府信息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hint="default" w:ascii="Times New Roman" w:hAnsi="Times New Roman" w:eastAsia="方正楷体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hint="default" w:ascii="Times New Roman" w:hAnsi="Times New Roman" w:eastAsia="方正楷体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  <w:t>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  <w:jc w:val="center"/>
        </w:trPr>
        <w:tc>
          <w:tcPr>
            <w:tcW w:w="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left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2、没有现成信息，需要另行制作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  <w:jc w:val="center"/>
        </w:trPr>
        <w:tc>
          <w:tcPr>
            <w:tcW w:w="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left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3、补正后申请内容仍不明确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  <w:jc w:val="center"/>
        </w:trPr>
        <w:tc>
          <w:tcPr>
            <w:tcW w:w="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8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（五）不予处理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left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1、信访举报投诉类申请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left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2、重复申请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  <w:jc w:val="center"/>
        </w:trPr>
        <w:tc>
          <w:tcPr>
            <w:tcW w:w="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left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3、要求提供公开出版物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  <w:jc w:val="center"/>
        </w:trPr>
        <w:tc>
          <w:tcPr>
            <w:tcW w:w="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left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4、无正当理由大量反复申请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5" w:hRule="atLeast"/>
          <w:jc w:val="center"/>
        </w:trPr>
        <w:tc>
          <w:tcPr>
            <w:tcW w:w="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left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5、要求行政机关确认或重新出具已获取信息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3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（六）其他处理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  <w:jc w:val="center"/>
        </w:trPr>
        <w:tc>
          <w:tcPr>
            <w:tcW w:w="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3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（七）总计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hint="default" w:ascii="Times New Roman" w:hAnsi="Times New Roman" w:eastAsia="方正楷体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hint="default" w:ascii="Times New Roman" w:hAnsi="Times New Roman" w:eastAsia="方正楷体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  <w:t>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  <w:jc w:val="center"/>
        </w:trPr>
        <w:tc>
          <w:tcPr>
            <w:tcW w:w="36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四、结转下年继续办理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lang w:val="en-US" w:eastAsia="zh-CN"/>
              </w:rPr>
              <w:t>2</w:t>
            </w:r>
          </w:p>
        </w:tc>
      </w:tr>
    </w:tbl>
    <w:p>
      <w:pPr>
        <w:spacing w:line="540" w:lineRule="exact"/>
        <w:ind w:firstLine="600" w:firstLineChars="200"/>
        <w:jc w:val="left"/>
        <w:rPr>
          <w:rFonts w:ascii="Times New Roman" w:hAnsi="Times New Roman" w:eastAsia="黑体" w:cs="Times New Roman"/>
          <w:color w:val="FF0000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t>四、政府信息公开行政复议、行政诉讼情况</w:t>
      </w:r>
    </w:p>
    <w:tbl>
      <w:tblPr>
        <w:tblStyle w:val="4"/>
        <w:tblW w:w="9075" w:type="dxa"/>
        <w:tblInd w:w="-14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5"/>
        <w:gridCol w:w="605"/>
        <w:gridCol w:w="605"/>
        <w:gridCol w:w="605"/>
        <w:gridCol w:w="605"/>
        <w:gridCol w:w="605"/>
        <w:gridCol w:w="605"/>
        <w:gridCol w:w="605"/>
        <w:gridCol w:w="605"/>
        <w:gridCol w:w="605"/>
        <w:gridCol w:w="605"/>
        <w:gridCol w:w="605"/>
        <w:gridCol w:w="605"/>
        <w:gridCol w:w="605"/>
        <w:gridCol w:w="6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30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行政复议</w:t>
            </w:r>
          </w:p>
        </w:tc>
        <w:tc>
          <w:tcPr>
            <w:tcW w:w="605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结果维持</w:t>
            </w:r>
          </w:p>
        </w:tc>
        <w:tc>
          <w:tcPr>
            <w:tcW w:w="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结果纠正</w:t>
            </w:r>
          </w:p>
        </w:tc>
        <w:tc>
          <w:tcPr>
            <w:tcW w:w="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其他结果</w:t>
            </w:r>
          </w:p>
        </w:tc>
        <w:tc>
          <w:tcPr>
            <w:tcW w:w="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尚未审结</w:t>
            </w:r>
          </w:p>
        </w:tc>
        <w:tc>
          <w:tcPr>
            <w:tcW w:w="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总计</w:t>
            </w:r>
          </w:p>
        </w:tc>
        <w:tc>
          <w:tcPr>
            <w:tcW w:w="30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未经复议直接起诉</w:t>
            </w:r>
          </w:p>
        </w:tc>
        <w:tc>
          <w:tcPr>
            <w:tcW w:w="30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6" w:hRule="atLeast"/>
        </w:trPr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结果维持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结果纠正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其他结果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尚未审结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总计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结果维持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结果纠正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其他结果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尚未审结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2866"/>
              </w:tabs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楷体简体" w:cs="Times New Roman"/>
                <w:sz w:val="28"/>
                <w:szCs w:val="28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1" w:hRule="atLeast"/>
        </w:trPr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  <w:tc>
          <w:tcPr>
            <w:tcW w:w="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简体" w:cs="Times New Roman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2019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年，本机关在政府信息公开工作中虽然取得了一定成效，但也存在一些问题。主要表现在：办公室的信息公开牵头主导性不够凸显；对依申请公开疑难问题研究和分类指导需进一步加强；信息公开的质量还需进一度提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一是从管理机制着手，加强对政府信息公开工作的指导与管理。积极落实区信息公开领导小组相关工作，切实负担起领导小组办公室工作职责，通过小组成员单位多部门联动，推动全区公开工作要点落实落细。优化政府信息公开年度考核方案，根据区各部门、街道不同的工作重点和方向合理调整考核细则，督促和引导各部门提升主动公开意识和栏目保障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二是从业务培训发力，提升依法公开的能力和分类指导的水平。加强专业领域学习培训，抓好《江苏省政府信息公开申请办理答复规范》等文件的执行，进一步加强多部门综合协调与协商应对机制，确保办理过程与答复结果的合法性，提高依申请公开的办件质量与效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三是从信息质量把关，不断拓展信息公开范围，优化解读形式。对照省市相关文件要求，加强重大建设项目批准和实施过程、公共资源配置，以及社会公益事业领域信息公开，确保全面、及时、准确地公开重点领域信息。同时，通过专家解读、媒体评论、图解等多种形式解读政策文件，提升公众的阅读体验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方正仿宋简体" w:cs="Times New Roman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bookmarkStart w:id="0" w:name="_GoBack"/>
      <w:bookmarkEnd w:id="0"/>
    </w:p>
    <w:sectPr>
      <w:pgSz w:w="11906" w:h="16838"/>
      <w:pgMar w:top="2098" w:right="1587" w:bottom="1701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B11AFD7-CEE0-464A-BE87-46F474D7358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2" w:fontKey="{7D82C3A7-6FAE-4CE3-8DAF-E26C8B279C93}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3" w:fontKey="{2788366F-A48B-4BCD-9C3E-D09C4EF1993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105067"/>
    <w:rsid w:val="06096F55"/>
    <w:rsid w:val="06162ADC"/>
    <w:rsid w:val="0D4A388E"/>
    <w:rsid w:val="132B2DFE"/>
    <w:rsid w:val="13CE390D"/>
    <w:rsid w:val="1A46763E"/>
    <w:rsid w:val="1C5601A8"/>
    <w:rsid w:val="33EE1B3E"/>
    <w:rsid w:val="35105067"/>
    <w:rsid w:val="49DF0B14"/>
    <w:rsid w:val="4B375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50</TotalTime>
  <ScaleCrop>false</ScaleCrop>
  <LinksUpToDate>false</LinksUpToDate>
  <CharactersWithSpaces>0</CharactersWithSpaces>
  <Application>WPS Office_11.1.0.10024_F1E327BC-269C-435d-A152-05C5408002CA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2020-02-24T08:35:00Z</dcterms:created>
  <dc:creator>楠楠</dc:creator>
  <cp:lastModifiedBy>Mrs. Skirt</cp:lastModifiedBy>
  <dcterms:modified xsi:type="dcterms:W3CDTF">2021-01-29T08:08:06Z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  <property fmtid="{D5CDD505-2E9C-101B-9397-08002B2CF9AE}" pid="3" name="KSOSaveFontToCloudKey">
    <vt:lpwstr>245086406_cloud</vt:lpwstr>
  </property>
</Properties>
</file>