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南京市栖霞区市场监督管理局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 负责市场综合监督管理，贯彻执行国家、省、市有关市场监督管理的法律、法规和政策;拟订相关规范性文件和政策、措施，经批准后监督实施。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 拟订并组织实施市场监督管理事业发展规划;组织推进质量发展工作;组织实施商标战略和名牌战略;指导广告业发展;参与制定商品交易市场发展规划。</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 负责规范和维护市场经营秩序，依法承担市场和网络商品交易行为及有关服务行为的监督管理;组织开展食品药品和其他流通领域商品质量抽检并发布抽检信息;组织指导查处违反市场综合监督管理法律、法规、规章的行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 组织拟订并协调推进食品安全规划;依法承担食品安全综合协调工作;推动食品安全应急体系和隐患排查治理机制建设，按规定负责食品安全事故和突发事件的协调处置与应对;负责实施食品安全信息统一发布制度，公布重大食品安全信息;会同有关部门拟订食品安全风险监测方案，根据食品安全风险监测方案开展食品安全有关风险监测工作;依法承担食品生产、食品流通及餐饮服务的安全监督管理职责;承担酒类、保健食品和化妆品市场监督管理职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 依法承担对各类市场经营秩序监督管理责任;负责维护公平竞争的市场经营秩序;依法负责个体工商户、私营企业经营行为的监督管理;以市场主体登记信息、统一社会信用代码等信息为数据基础，组织开展企业信用体系建设，推进政府企业信用、行业信用建设，实施信用分类管理;研究分析并依法发布市场主体登记注册基础信息，为政府决策和社会公众提供信息服务;依法监督管理经纪人、经纪机构及经纪活动;依法监督管理直销企业和直销人员及其直销行为，依法查处违法直销和传销案件，牵头打击制售假冒伪劣商品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 依法管理和指导全区质量工作，推进全区产品质量诚信体系建设，负责质量宏观管理工作，研究分析全区产品质量状况;组织推进质量发展工作;推进名牌发展战略;组织实施质量奖励制度。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 负责产品(商品)质量监督检查工作;制定并组织实施全区产品(商品)质量监督相关政策、措施;组织产品(商品)质量预警、监测工作;依法组织协调较大产品(商品)质量事故的调查处理;组织实施质量奖励制度和缺陷产品(商品)召回制度;监督管理产品防伪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 依法承担消费者权益保护责任，建立消费者权益保护体系，组织指导消费维权工作;负责涉及市场综合监督管理的申诉和举报工作。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 依法实施合同行政监督管理，规范合同行为;管理动产抵押物登记;组织实施消费类合同格式条款备案;监督管理拍卖行为。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 负责商标监督管理工作，依法保护商标专用权;推荐省市著名商标;依法保护特殊标志、官方标志;负责实施名牌产品工作，做好名牌产品的推荐、保护工作;依法负责广告活动的监督管理。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 负责管理全区标准化工作;组织协调和指导推动各部门、各行业的标准化工作;依法组织制定本地区标准规范;依法监督标准的实施;按照规定承担应对技术性贸易壁垒工作;管理统一社会信用代码和商品编码工作;负责地理标志产品日常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12. 负责管理全区计量工作;组织推行法定计量单位和国家计量制度;依法管理计量器具及量值传递和比对工作;负责规范和监督商品计量和市场计量行为。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13. 负责特种设备的安全监督管理:依法对特种设备生产(设计、制造、安装、改造、维修)、经营、使用。检验检测等环节进行监督检查，负责特种设备行政许可项目的监督管理;按规定权限组织特种设备事故的调查处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14. 负责管理合格评定工作;依法负贵检验机构及其检验服务活动的监督管理工作;规范和监督认证市场行为:负贵工业产品生产许可证和能效标识的监督管理，推进实施国家相关产业政策。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15. 负责实施药品、医疗器械、保健食品、化妆品标准分类管理制度和监督管理工作;监督实施药品、医疗器械研制、生产、流通、使用方面的质量管理规范和保健食品、化妆品技术规范;监督实施国家药品、医疗器械标准，组织开展药品、保健食品、化妆品不良反应和医疗器械不良事件监测，建立不良反应(事件)监测体系;推动食品药品审评评价体系、电子监督管理追溯体系和信息化建设;建立健全药品安全应急体系，组织和指导食品药品安全事故应急处置和调查处理工作，监督事故查处落实情况;配合有关部门实施国家基本药物制度;组织实施处方药和非处方药分类管理制度;负责实施执业药师注册和管理工作;组织实施食品、药品、医疗器械、保健食品、化妆品从业人员职业资格准入制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16. 组织实施中药、民族药监督管理规范和质量标准；监督实施中药材生产质量管理规范、中药饮片炮制规范，组织实施中药品种保护制度;监督管理城乡集贸市场的中药材交易;负责麻醉药品、精神药品、医疗用毒性药品、放射性药品及戒毒药品的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17. 承担区食品安全委员会的日常工作；负责食品安全监督管理综合协调，健全协调联动机制:开展食品安全宣传、教育培训；督促检查区级有关部门和街道办事处履行食品安全相关职责。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18. 负责统筹协调知识产权工作。贯彻落实国家、省、市知识产权战略，拟订并组织实施区知识产权发展规划。牵头负责知识产权创造、保护和运用工作。组织指导知识产权行政执法工作。负责知识产权公共服务体系建设及涉外知识产权事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19. 拟订有关商品和服务价格及行政事业性收费行为监督检查的办法和措施，组织指导全区范围内的价格行政执法及行政事业性收费监督检查工作;依法开展对本区范围内经营者不执行政府定价、政府指导价、不正当价格行为、违反明码标价规定及法定的价格干预措施等价格违法行为的监督检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 配合党委组织部门开展小微企业、个体工商户、专业市场的党建工作。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21. 完成区委、区政府交办的其他事项。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组织人事科、法制科、行政审批服务科、市场管理科（网络交易监督管理科）、商标广告合同监督管理科、消费者权益保护科（投诉举报中心）、食品经营安全监督管理科、特殊食品管理科、药品化妆品管理科、质量管理科、特种设备监察科、食品安全协调科、价格检查科、知识产权科、稽查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本部门下属单位包括:南京市栖霞区市场监管综合行政执法大队。</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南京市栖霞区市场监督管理局（本级），南京市栖霞区市场监管综合行政执法大队。</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 严守“三个安全”底线，织密扎牢民生保障“安全网”。特种设备安全监管方面，持续深化安全生产三年专项整治，巩固国家安全发展示范城市创建，固化前期模拟考核满分成效，开展重点设备、环节专项检查，力争不发生特种设备事故，化工企业特种设备数字化监管率、化工生产企业隐患整改率达到100%；开展电梯监管改革试点和大数据服务探索，建立区电梯监管平台，科学有效地加强特种设备安全监管。食品安全监管方面，进一步建立健全食品安全信息通报、食品安全事故应急联动、食品安全风险交流与信息发布机制，同时，在摸清辖区食品生产经营本底数量的情况下，探索实施分类分级监管、抽检、风险评估和行政执法四位一体的食品安全监管，将有限的监管力量实现抓大放小，以问题为导向，突出重点，开展针对性的监管，提升监管效能。质量安全监管方面，重点突出生产环节源头监管，对全区21家工业产品生产许可证获证企业进行全覆盖检查，重点关注燃气器具、电线电缆、成品油等领域产品质量，从源头杜绝安全隐患；同时，在流通环节突出民生关注热点行业领域监管，打击假冒伪劣，净化市场秩序。</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 全力服务发展大局，在推进栖霞高质量发展中担当作为。一是深入推进知识产权战略。高标准推进知识产权强区建设，积极创建江苏知识产权强省建设区域示范；促进专利提质增量，完成知识产权相关指标任务，指导企业争取获得更多上级专利奖和知识产权优势、示范企业；知识产权保护力度不断加强，建立知识产权保护行刑协作衔接机制、知识产权纠纷诉调对接机制。二是深入推进质量强区战略。发挥政府质量奖导向作用，进一步加强宣传和发动，做好培育企业的帮扶和指导，组织更多优秀企业积极参与市长质量奖评选活动；找准重点产业、重点领域，深入开展质量提升计划。</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 持续提升监管执法水平，在提升履职尽责能力上再出招。一是增强执法能力，加强执法培训、以案代训、以老带新，凡是查办大要案件或者特色、新颖案件，由案件主办人对所有执法人员进行培训，强化办案力度，并建立大案要案集中办理，人员统一调配制度；各执法中队对接好各业务科室、分局，做好案件线索衔接及办理指导，努力实现全员办案。同时，发挥与公安、法院、检察院纵向联动作用，促进行政执法与刑事司法的无缝衔接。二是完善执法体系，制定执法考核细则和执法奖励制度，加强案件管理和执法监督，打造廉政作风，促进执法大队科学化、规范化、长效化管理。通过增强执法能力，强化办案力度，完善执法体系，为栖霞区营造更优的营商环境提供执法保障。</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南京市栖霞区市场监督管理局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南京市栖霞区市场监督管理局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7,297.54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5,716.93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30.00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1,610.61</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7,327.54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7,327.54</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7,327.54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7,327.54</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7,327.54</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7,327.54</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7,297.54</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414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南京市栖霞区市场监督管理局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7,327.54</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7,327.54</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7,297.54</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414001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南京市栖霞区市场监督管理局（机关）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5,906.05</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5,906.05</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5,876.05</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414002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南京市栖霞区市场监管综合行政执法大队</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1,421.49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1,421.49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1,421.49</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7,327.54</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5,689.84</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1,637.70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5,716.93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4,079.23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1,637.70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市场监督管理事务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5,716.93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4,079.23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1,637.70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2013801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3,163.16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3,163.16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2013802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172.20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2013804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市场主体管理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市场秩序执法</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1,003.07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916.07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2013808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信息化建设</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202.00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2013816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食品安全监管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940.50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940.50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508.63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508.63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1,101.98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1,101.98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南京市栖霞区市场监督管理局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7,297.54</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7,297.54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7,297.54</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5,686.93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1,610.61</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7,297.54</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7,297.54</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7,297.54</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5,689.84</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5,307.59</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382.25</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1,607.70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5,686.93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4,079.23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3,696.98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382.25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1,607.70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市场监督管理事务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5,686.93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4,079.23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3,696.98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382.25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1,607.70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2013801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3,163.16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3,163.16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2,868.99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294.17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2013802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142.20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2013804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市场主体管理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236.00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236.00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市场秩序执法</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1,003.07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916.07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827.99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88.08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87.00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2013808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信息化建设</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2013816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食品安全监管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940.50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940.50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1,610.61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1,610.61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1,610.61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1,610.61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1,610.61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1,610.61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508.63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508.63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508.63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1,101.98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1,101.98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1,101.98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南京市栖霞区市场监督管理局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5,689.84</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5,307.59</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382.25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4,811.94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4,811.94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581.33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2,298.16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289.02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289.02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15.89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508.63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508.63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382.25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440.65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440.65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391.68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29.14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7,297.54</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5,689.84</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5,307.59</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382.25</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1,607.70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5,686.93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4,079.23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3,696.98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382.25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1,607.70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市场监督管理事务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5,686.93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4,079.23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3,696.98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382.25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1,607.70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2013801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3,163.16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3,163.16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2,868.99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294.17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2013802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142.20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2013804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市场主体管理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市场秩序执法</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1,003.07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916.07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827.99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88.08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87.00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2013808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信息化建设</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202.00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2013816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食品安全监管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940.50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940.50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1,610.61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508.63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508.63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508.63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1,101.98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1,101.98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1,101.98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5,689.84</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5,307.59</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382.25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4,811.94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4,811.94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581.33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581.33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2,298.16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289.02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289.02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15.89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15.89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508.63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508.63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382.25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440.65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440.65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391.68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29.14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89.00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382.25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382.25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62.05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39.60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106.10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21.50</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南京市栖霞区市场监督管理局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南京市栖霞区市场监督管理局（机关）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移动存储设备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普通电话机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书籍、课本</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南京市栖霞区市场监管综合行政执法大队</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南京市栖霞区市场监督管理局2022年度收入、支出预算总计7,327.54万元，与上年相比收、支预算总计各增加185.41万元，增长2.6%。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（一）收入预算总计7,327.54万元。包括：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1．本年收入合计7,327.54万元。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（1）一般公共预算拨款收入7,297.54万元，与上年相比增加175.41万元，增长2.46%。主要原因是人员基本支出政策性调整增加。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（9）其他收入30万元，与上年相比增加10万元，增长50%。主要原因是增加预算外非税收入。</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（二）支出预算总计7,327.54万元。包括：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1．本年支出合计7,327.54万元。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（1）一般公共服务支出（类）支出5,716.93万元，主要用于工资福利支出、商品服务支出、开展日常业务发生的项目支出等。与上年相比增加181.64万元，增长3.28%。主要原因是人员基本支出政策性调整增加。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1,610.61万元，主要用于本部门及所属单位按照国家有关规定为职工缴纳住房公积金和逐月发放的购房补贴支出。与上年相比增加3.77万元，增长0.23%。主要原因是住房公积金、购房补贴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南京市栖霞区市场监督管理局2022年收入预算合计7,327.54万元，包括本年收入7,327.54万元，上年结转结余0万元。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本年一般公共预算收入7,297.54万元，占99.59%；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本年其他收入30万元，占0.41%；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南京市栖霞区市场监督管理局2022年支出预算合计7,327.54万元，其中：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基本支出5,689.84万元，占77.65%；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项目支出1,637.7万元，占22.35%；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南京市栖霞区市场监督管理局2022年度财政拨款收、支总预算7,297.54万元。与上年相比，财政拨款收、支总计各增加175.41万元，增长2.46%。主要原因是人员基本支出政策性调整增加。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南京市栖霞区市场监督管理局2022年财政拨款预算支出7,297.54万元，占本年支出合计的99.59%。与上年相比，财政拨款支出增加175.41万元，增长2.46%。主要原因是人员基本支出政策性调整增加。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1.市场监督管理事务（款）行政运行（项）支出3,163.16万元，与上年相比增加39.4万元，增长1.26%。主要原因是人员基本支出政策性调整增加。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2.市场监督管理事务（款）一般行政管理事务（项）支出142.2万元，与上年相比减少13.87万元，减少8.89%。主要原因是节约经费、合理安排项目支出。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3.市场监督管理事务（款）市场主体管理（项）支出236万元，与上年相比减少344万元，减少59.31%。主要原因是节约经费、合理安排项目支出。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4.市场监督管理事务（款）市场秩序执法（项）支出1,003.07万元，与上年相比增加22.01万元，增长2.24%。主要原因是人员基本支出政策性调整增加。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5.市场监督管理事务（款）信息化建设（项）支出202万元，与上年相比增加4万元，增长2.02%。主要原因是增加档案数字化加工经费。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6.市场监督管理事务（款）食品安全监管（项）支出940.5万元，与上年相比增加940.5万元（去年预算数为0万元，无法计算增减比率）。主要原因是食品安全监管专项功能科目调整。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1.住房改革支出（款）住房公积金（项）支出508.63万元，与上年相比增加1.19万元，增长0.23%。主要原因是住房公积金支出政策性调整增加。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2.住房改革支出（款）购房补贴（项）支出1,101.98万元，与上年相比增加2.58万元，增长0.23%。主要原因是购房补贴支出政策性调整增加。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南京市栖霞区市场监督管理局2022年度财政拨款基本支出预算5,689.84万元，其中：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5,307.59万元。主要包括：基本工资、津贴补贴、奖金、伙食补助费、机关事业单位基本养老保险缴费、职业年金缴费、职工基本医疗保险缴费、其他社会保障缴费、住房公积金、其他工资福利支出、离休费、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（二）公用经费382.25万元。主要包括：办公费、邮电费、差旅费、会议费、培训费、公务接待费、工会经费、公务用车运行维护费、其他交通费用、其他商品和服务支出。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南京市栖霞区市场监督管理局2022年一般公共预算财政拨款支出预算7,297.54万元，与上年相比增加175.41万元，增长2.46%。主要原因是人员基本支出政策性调整增加。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南京市栖霞区市场监督管理局2022年度一般公共预算财政拨款基本支出预算5,689.84万元，其中：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5,307.59万元。主要包括：基本工资、津贴补贴、奖金、伙食补助费、机关事业单位基本养老保险缴费、职业年金缴费、职工基本医疗保险缴费、其他社会保障缴费、住房公积金、其他工资福利支出、离休费、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（二）公用经费382.25万元。主要包括：办公费、邮电费、差旅费、会议费、培训费、公务接待费、工会经费、公务用车运行维护费、其他交通费用、其他商品和服务支出。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度一般公共预算拨款安排的“三公”经费预算支出中，因公出国（境）费支出0万元，占“三公”经费的0%；公务用车购置及运行维护费支出84万元，占“三公”经费的94.38%；公务接待费支出5万元，占“三公”经费的5.62%。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2．公务用车购置及运行维护费预算支出84万元。其中：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（2）公务用车运行维护费预算支出84万元，与上年预算数相同。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南京市栖霞区市场监督管理局2022年度一般公共预算拨款安排的会议费预算支出8万元，比上年预算减少2万元，主要原因是厉行节约，压减会议费支出。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南京市栖霞区市场监督管理局2022年度一般公共预算拨款安排的培训费预算支出24万元，比上年预算增加2万元，主要原因是加强培训学习，提升业务能力。</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南京市栖霞区市场监督管理局2022年国有资本经营预算支出0万元。与上年预算数相同。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2022年本部门一般公共预算机关运行经费预算支出382.25万元。与上年相比增加1.02万元，增长0.27%。主要原因是人员基本支出政策性调整增加。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2022年度政府采购支出预算总额26.2万元，其中：拟采购货物支出26.2万元、拟采购工程支出0万元、拟购买服务支出0万元。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25辆，其中，一般公务用车0辆、执法执勤用车24辆、特种专业技术用车1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2022年度，本部门整体支出纳入绩效目标管理，涉及四本预算资金7,327.54万元；本部门共9个项目纳入绩效目标管理，涉及四本预算资金合计1,637.7万元，占四本预算资金(基本支出除外)总额的比例为100%。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八、一般公共服务支出(类)市场监督管理事务(款)行政运行(项)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九、一般公共服务支出(类)市场监督管理事务(款)一般行政管理事务(项)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十、一般公共服务支出(类)市场监督管理事务(款)市场主体管理(项)</w:t>
      </w:r>
      <w:r>
        <w:rPr>
          <w:rFonts w:ascii="仿宋" w:hAnsi="仿宋" w:cs="仿宋" w:eastAsia="仿宋"/>
          <w:b w:val="true"/>
        </w:rPr>
        <w:t>：</w:t>
      </w:r>
      <w:r>
        <w:rPr>
          <w:rFonts w:hint="eastAsia" w:ascii="仿宋" w:hAnsi="仿宋" w:eastAsia="仿宋" w:cs="仿宋"/>
        </w:rPr>
        <w:t>反映市场准入、许可审批、信用监管等市场主体管理专项工作支出。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十一、一般公共服务支出(类)市场监督管理事务(款)市场秩序执法(项)</w:t>
      </w:r>
      <w:r>
        <w:rPr>
          <w:rFonts w:ascii="仿宋" w:hAnsi="仿宋" w:cs="仿宋" w:eastAsia="仿宋"/>
          <w:b w:val="true"/>
        </w:rPr>
        <w:t>：</w:t>
      </w:r>
      <w:r>
        <w:rPr>
          <w:rFonts w:hint="eastAsia" w:ascii="仿宋" w:hAnsi="仿宋" w:eastAsia="仿宋" w:cs="仿宋"/>
        </w:rPr>
        <w:t>反映反垄断、价格监督、反不正当竞争、规范直销与打击传销、网络交易监管、广告监管、消费者权益保护、综合执法等市场秩序执法专项工作支出。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十二、一般公共服务支出(类)市场监督管理事务(款)信息化建设(项)</w:t>
      </w:r>
      <w:r>
        <w:rPr>
          <w:rFonts w:ascii="仿宋" w:hAnsi="仿宋" w:cs="仿宋" w:eastAsia="仿宋"/>
          <w:b w:val="true"/>
        </w:rPr>
        <w:t>：</w:t>
      </w:r>
      <w:r>
        <w:rPr>
          <w:rFonts w:hint="eastAsia" w:ascii="仿宋" w:hAnsi="仿宋" w:eastAsia="仿宋" w:cs="仿宋"/>
        </w:rPr>
        <w:t>反映市场监督管理、药品监督管理部门用于信息化建设及运行维护方面的支出。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十三、一般公共服务支出(类)市场监督管理事务(款)食品安全监管(项)</w:t>
      </w:r>
      <w:r>
        <w:rPr>
          <w:rFonts w:ascii="仿宋" w:hAnsi="仿宋" w:cs="仿宋" w:eastAsia="仿宋"/>
          <w:b w:val="true"/>
        </w:rPr>
        <w:t>：</w:t>
      </w:r>
      <w:r>
        <w:rPr>
          <w:rFonts w:hint="eastAsia" w:ascii="仿宋" w:hAnsi="仿宋" w:eastAsia="仿宋" w:cs="仿宋"/>
        </w:rPr>
        <w:t>反映食品安全监管等专项工作支出。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南京市栖霞区市场监督管理局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