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40" w:type="dxa"/>
        <w:tblInd w:w="-310" w:type="dxa"/>
        <w:tblLook w:val="04A0" w:firstRow="1" w:lastRow="0" w:firstColumn="1" w:lastColumn="0" w:noHBand="0" w:noVBand="1"/>
      </w:tblPr>
      <w:tblGrid>
        <w:gridCol w:w="3960"/>
        <w:gridCol w:w="1546"/>
        <w:gridCol w:w="1805"/>
        <w:gridCol w:w="1629"/>
      </w:tblGrid>
      <w:tr w:rsidR="00BA0B5E" w:rsidRPr="00BA0B5E" w:rsidTr="00BA0B5E">
        <w:trPr>
          <w:trHeight w:val="780"/>
        </w:trPr>
        <w:tc>
          <w:tcPr>
            <w:tcW w:w="8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 w:rsidRPr="00BA0B5E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2017年8月份主要经济指标完成情况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指  标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计量单位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本期</w:t>
            </w:r>
            <w:proofErr w:type="gramStart"/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止</w:t>
            </w:r>
            <w:proofErr w:type="gramEnd"/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累计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A0B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同比增减%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规模以上工业总产值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1701.6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7.74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规模以上工业利润总额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48.49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42.25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规模以上工业综合能源消费量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万吨标准煤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537.52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3.8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规模以上工业原煤消费量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670.46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全社会固定资产投资额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462.2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19.5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其中：工业投资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131.62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43.21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第三产业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330.58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12.21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房地产开发投资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207.64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-3.61</w:t>
            </w:r>
          </w:p>
        </w:tc>
      </w:tr>
      <w:tr w:rsidR="00BA0B5E" w:rsidRPr="00BA0B5E" w:rsidTr="00BA0B5E">
        <w:trPr>
          <w:trHeight w:val="720"/>
        </w:trPr>
        <w:tc>
          <w:tcPr>
            <w:tcW w:w="3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一般公共预算收入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85.58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3.79</w:t>
            </w:r>
          </w:p>
        </w:tc>
      </w:tr>
      <w:tr w:rsidR="00BA0B5E" w:rsidRPr="00BA0B5E" w:rsidTr="00BA0B5E">
        <w:trPr>
          <w:trHeight w:val="750"/>
        </w:trPr>
        <w:tc>
          <w:tcPr>
            <w:tcW w:w="8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0B5E" w:rsidRPr="00BA0B5E" w:rsidRDefault="00BA0B5E" w:rsidP="00BA0B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BA0B5E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注：一般公共预算收入增速为直比增速。</w:t>
            </w:r>
          </w:p>
        </w:tc>
      </w:tr>
    </w:tbl>
    <w:p w:rsidR="00200A54" w:rsidRDefault="00200A54"/>
    <w:sectPr w:rsidR="00200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2CD"/>
    <w:rsid w:val="00200A54"/>
    <w:rsid w:val="003472CD"/>
    <w:rsid w:val="00BA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5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2017-12-14T03:07:00Z</dcterms:created>
  <dcterms:modified xsi:type="dcterms:W3CDTF">2017-12-14T03:07:00Z</dcterms:modified>
</cp:coreProperties>
</file>