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2019年栖霞区国民经济和社会发展统计公报</w:t>
      </w: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2019年，栖霞区坚持以党的十九大，十九届四中全会精神和习近平总书记重要指示精神，落实中央、省委、省政府决策部署，以稳中求进为工作总基调、以高质量发展为奋斗总目标，解放思想、对标找差、创新实干，进一步深化供给侧结构性改革，优化营商环境，全区经济运行总体保持平稳，发展质量稳步提升，经济社会发展取得新的突破，为全面建成小康社会和“十三五”规划收官之年打下坚实基础。</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黑体_GBK" w:cs="Times New Roman"/>
          <w:sz w:val="32"/>
          <w:szCs w:val="32"/>
          <w:lang w:val="en-US" w:eastAsia="zh-CN"/>
        </w:rPr>
        <w:t>一、综合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地区生产总值稳中有进。</w:t>
      </w:r>
      <w:r>
        <w:rPr>
          <w:rFonts w:hint="default" w:ascii="Times New Roman" w:hAnsi="Times New Roman" w:eastAsia="方正仿宋_GBK" w:cs="Times New Roman"/>
          <w:sz w:val="32"/>
          <w:szCs w:val="32"/>
          <w:lang w:val="en-US" w:eastAsia="zh-CN"/>
        </w:rPr>
        <w:t>2019年，全区地区生产总值1535.18亿元，比上年增长8.2%，总量和增幅均在全市各区中排名第四位。其中第二产业实现增加值906.86亿元，比上年增长6.8%，第三产业实现增加值620.53亿元，比上年增长10.5%。三次产业结构调整为0.51：59.07：40.42。一、二产比重分别较上年下降0.02个百分点和0.13个百分点，三产比重较上年提升0.15个百分点。</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jc w:val="both"/>
        <w:textAlignment w:val="auto"/>
        <w:outlineLvl w:val="9"/>
        <w:rPr>
          <w:rFonts w:hint="default" w:ascii="Times New Roman" w:hAnsi="Times New Roman" w:eastAsia="方正仿宋_GBK" w:cs="Times New Roman"/>
          <w:b/>
          <w:bCs/>
          <w:sz w:val="32"/>
          <w:szCs w:val="32"/>
          <w:lang w:val="en-US" w:eastAsia="zh-CN"/>
        </w:rPr>
      </w:pPr>
      <w:r>
        <w:rPr>
          <w:rFonts w:hint="default" w:ascii="Times New Roman" w:hAnsi="Times New Roman" w:eastAsia="方正黑体_GBK" w:cs="Times New Roman"/>
          <w:sz w:val="32"/>
          <w:szCs w:val="32"/>
          <w:lang w:val="en-US" w:eastAsia="zh-CN"/>
        </w:rPr>
        <w:t>二、农林牧渔业</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2019年，全区实现农林牧渔业现价总产值11.37亿元，同比下降3.1%。其中：农业产值8.93亿元，下降4.7%；林业产值0.09亿元，下降1.1%；畜牧业产值0.54亿元，下降12.9%；渔业产值1.24亿元，增长9.3%；农林牧渔服务业产值0.57亿元，增长9.8%。全年粮食播种面积6.01万亩，同比下降19.97%；粮食总产量2.34万吨，同比下降14.6%。</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推进都市现代农业发展。</w:t>
      </w:r>
      <w:r>
        <w:rPr>
          <w:rFonts w:hint="default" w:ascii="Times New Roman" w:hAnsi="Times New Roman" w:eastAsia="方正仿宋_GBK" w:cs="Times New Roman"/>
          <w:sz w:val="32"/>
          <w:szCs w:val="32"/>
          <w:lang w:val="en-US" w:eastAsia="zh-CN"/>
        </w:rPr>
        <w:t>全区高效设施农业面积2200公顷，主要发展特色果蔬、优质稻米、花卉苗木等主导产业；完成“两区”划定水稻1333.4公顷、小麦666.9公顷；完成农作物秸秆机械化粉碎还田和收贮利用面积5910公顷，农业机械化水平达89.5%。全区农作物秸秆综合利用率达96%、畜禽粪污综合利用率达90%以上、废旧农膜回收利用率超80%，化肥施用量和农药使用量较2015年分别降低68.3%和83.19%。推进农村一二三产融合发展。全区新型农业经营主体累计达到338家，其中，列入江苏省优先扶持合作社名录的农民专业合作社39家。发展“互联网+现代农业”，全年网上营销销售额突破1.2亿元。推进休闲农业发展。9月11日至11月11日在八卦洲成功举办第十五届中国•南京农业嘉年华，期间主会场接待游客46.5万人次，带动八卦洲全年接待游客123.6万人次，实现经济效益超6000万元。</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推进农村人居环境综合整治提升。</w:t>
      </w:r>
      <w:r>
        <w:rPr>
          <w:rFonts w:hint="default" w:ascii="Times New Roman" w:hAnsi="Times New Roman" w:eastAsia="方正仿宋_GBK" w:cs="Times New Roman"/>
          <w:sz w:val="32"/>
          <w:szCs w:val="32"/>
          <w:lang w:val="en-US" w:eastAsia="zh-CN"/>
        </w:rPr>
        <w:t>全区涉及环境整治的行政村21个，创建美丽乡村示范村、宜居村4个，累计建成美丽乡村24个；生活垃圾集中收运和生活垃圾分类覆盖率达到100%；全面实现无害化卫生户厕普及率达99.99%的目标；完成农村环境“三清一改”自然村252个，完成率达100%；完成2个整村推进示范村建设，美丽庭院农户参评率达80%；疏浚农村河道13.7万方，完成长江沿岸绿化造林820亩、湿地修复210亩，全区林木覆盖率达32.35%，自然湿地保护率达53.34%。</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深化农村综合改革和综合执法检查。</w:t>
      </w:r>
      <w:r>
        <w:rPr>
          <w:rFonts w:hint="default" w:ascii="Times New Roman" w:hAnsi="Times New Roman" w:eastAsia="方正仿宋_GBK" w:cs="Times New Roman"/>
          <w:sz w:val="32"/>
          <w:szCs w:val="32"/>
          <w:lang w:val="en-US" w:eastAsia="zh-CN"/>
        </w:rPr>
        <w:t>全区44个村（涉农社区）农村集体产权制度改革工作全部完成。持续推进森林防火、林地湿地资源、动植物防疫检疫、农业安全生产等常态化管理，开展农林综合执法行动、“大棚房”问题专项清理整治、“绿盾”2019行动等专项行动，全区全年开展专项检查213次，办理行政处罚案7件，排查各类安全隐患100余处，问题清单均按要求整改到位。</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三、工业和建筑业</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2019年，规模以上工业企业实现总产值3048.73亿元，比上年增长4.86%。从主要行业来看：石油、煤炭及其他燃料加工业全年共完成工业总产值912.07亿元，该行业产值占全区比重31.7%，同比下降9.8%，拉低全区产值增幅3.5个百分点。计算机、通信和其他电子设备制造业全年共完成工业总产值884.93亿元，该行业产值占全区比重29%，同比增长22.18%，拉动全区产值增幅5.5个百分点。电气机械和器材制造业全年共完成工业总产值502.45亿元，该行业产值占全区比重17.5%，同比增长11.4%，拉动全区产值增幅1.8个百分点。医药制造业全年共完成工业总产值121.23亿元，该行业产值占全区比重4.2%，同比增长26.4%，拉动全区产值增幅0.4个百分点。有色金属冶炼和压延加工业全年共完成工业总产值103.37亿元，该行业产值占全区比重3.6%，同比下降6.2%，拉低全区产值增幅0.2个百分点。</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工业企业盈利能力下降。</w:t>
      </w:r>
      <w:r>
        <w:rPr>
          <w:rFonts w:hint="default" w:ascii="Times New Roman" w:hAnsi="Times New Roman" w:eastAsia="方正仿宋_GBK" w:cs="Times New Roman"/>
          <w:sz w:val="32"/>
          <w:szCs w:val="32"/>
          <w:lang w:val="en-US" w:eastAsia="zh-CN"/>
        </w:rPr>
        <w:t>全区规模以上工业企业实现主营业务收入2962.9亿元，增长0.59%；实现利税201.64亿元，下降42.38%，其中利润-10.78亿元。</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主要工业产品产量有升有降，具体见表一。</w:t>
      </w:r>
    </w:p>
    <w:p>
      <w:pPr>
        <w:spacing w:line="560" w:lineRule="exact"/>
        <w:jc w:val="center"/>
        <w:outlineLvl w:val="1"/>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表一: 2019年主要工业产品产量及其增长速度</w:t>
      </w:r>
    </w:p>
    <w:tbl>
      <w:tblPr>
        <w:tblStyle w:val="6"/>
        <w:tblW w:w="0" w:type="auto"/>
        <w:jc w:val="center"/>
        <w:tblLayout w:type="fixed"/>
        <w:tblCellMar>
          <w:top w:w="0" w:type="dxa"/>
          <w:left w:w="108" w:type="dxa"/>
          <w:bottom w:w="0" w:type="dxa"/>
          <w:right w:w="108" w:type="dxa"/>
        </w:tblCellMar>
      </w:tblPr>
      <w:tblGrid>
        <w:gridCol w:w="2500"/>
        <w:gridCol w:w="1480"/>
        <w:gridCol w:w="1480"/>
        <w:gridCol w:w="1480"/>
      </w:tblGrid>
      <w:tr>
        <w:tblPrEx>
          <w:tblCellMar>
            <w:top w:w="0" w:type="dxa"/>
            <w:left w:w="108" w:type="dxa"/>
            <w:bottom w:w="0" w:type="dxa"/>
            <w:right w:w="108" w:type="dxa"/>
          </w:tblCellMar>
        </w:tblPrEx>
        <w:trPr>
          <w:trHeight w:val="480" w:hRule="atLeast"/>
          <w:jc w:val="center"/>
        </w:trPr>
        <w:tc>
          <w:tcPr>
            <w:tcW w:w="2500" w:type="dxa"/>
            <w:tcBorders>
              <w:top w:val="single" w:color="auto" w:sz="4" w:space="0"/>
              <w:left w:val="single" w:color="auto" w:sz="4" w:space="0"/>
              <w:bottom w:val="single" w:color="auto" w:sz="4" w:space="0"/>
              <w:right w:val="single" w:color="auto" w:sz="4" w:space="0"/>
            </w:tcBorders>
            <w:shd w:val="clear" w:color="000000" w:fill="auto"/>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产品名称</w:t>
            </w:r>
          </w:p>
        </w:tc>
        <w:tc>
          <w:tcPr>
            <w:tcW w:w="1480" w:type="dxa"/>
            <w:tcBorders>
              <w:top w:val="single" w:color="auto" w:sz="4" w:space="0"/>
              <w:left w:val="nil"/>
              <w:bottom w:val="single" w:color="auto" w:sz="4" w:space="0"/>
              <w:right w:val="single" w:color="auto" w:sz="4" w:space="0"/>
            </w:tcBorders>
            <w:shd w:val="clear" w:color="000000" w:fill="auto"/>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计量单位</w:t>
            </w:r>
          </w:p>
        </w:tc>
        <w:tc>
          <w:tcPr>
            <w:tcW w:w="1480" w:type="dxa"/>
            <w:tcBorders>
              <w:top w:val="single" w:color="auto" w:sz="4" w:space="0"/>
              <w:left w:val="nil"/>
              <w:bottom w:val="single" w:color="auto" w:sz="4" w:space="0"/>
              <w:right w:val="single" w:color="auto" w:sz="4" w:space="0"/>
            </w:tcBorders>
            <w:shd w:val="clear" w:color="000000" w:fill="auto"/>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2019年</w:t>
            </w:r>
          </w:p>
        </w:tc>
        <w:tc>
          <w:tcPr>
            <w:tcW w:w="1480" w:type="dxa"/>
            <w:tcBorders>
              <w:top w:val="single" w:color="auto" w:sz="4" w:space="0"/>
              <w:left w:val="nil"/>
              <w:bottom w:val="single" w:color="auto" w:sz="4" w:space="0"/>
              <w:right w:val="single" w:color="auto" w:sz="4" w:space="0"/>
            </w:tcBorders>
            <w:shd w:val="clear" w:color="000000" w:fill="auto"/>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同比增减(%)</w:t>
            </w:r>
          </w:p>
        </w:tc>
      </w:tr>
      <w:tr>
        <w:tblPrEx>
          <w:tblCellMar>
            <w:top w:w="0" w:type="dxa"/>
            <w:left w:w="108" w:type="dxa"/>
            <w:bottom w:w="0" w:type="dxa"/>
            <w:right w:w="108" w:type="dxa"/>
          </w:tblCellMar>
        </w:tblPrEx>
        <w:trPr>
          <w:trHeight w:val="360" w:hRule="atLeast"/>
          <w:jc w:val="center"/>
        </w:trPr>
        <w:tc>
          <w:tcPr>
            <w:tcW w:w="250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硫铁矿石（折含硫35％）</w:t>
            </w:r>
          </w:p>
        </w:tc>
        <w:tc>
          <w:tcPr>
            <w:tcW w:w="1480" w:type="dxa"/>
            <w:tcBorders>
              <w:top w:val="nil"/>
              <w:left w:val="nil"/>
              <w:bottom w:val="single" w:color="auto" w:sz="4" w:space="0"/>
              <w:right w:val="single" w:color="auto" w:sz="4" w:space="0"/>
            </w:tcBorders>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吨</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213422</w:t>
            </w:r>
          </w:p>
        </w:tc>
        <w:tc>
          <w:tcPr>
            <w:tcW w:w="1480" w:type="dxa"/>
            <w:tcBorders>
              <w:top w:val="nil"/>
              <w:left w:val="nil"/>
              <w:bottom w:val="single" w:color="auto" w:sz="4" w:space="0"/>
              <w:right w:val="single" w:color="auto" w:sz="4" w:space="0"/>
            </w:tcBorders>
            <w:noWrap w:val="0"/>
            <w:vAlign w:val="center"/>
          </w:tcPr>
          <w:p>
            <w:pPr>
              <w:jc w:val="right"/>
              <w:rPr>
                <w:rFonts w:hint="default" w:ascii="Times New Roman" w:hAnsi="Times New Roman" w:cs="Times New Roman"/>
                <w:sz w:val="20"/>
                <w:szCs w:val="20"/>
              </w:rPr>
            </w:pPr>
            <w:r>
              <w:rPr>
                <w:rFonts w:hint="default" w:ascii="Times New Roman" w:hAnsi="Times New Roman" w:cs="Times New Roman"/>
                <w:sz w:val="20"/>
                <w:szCs w:val="20"/>
              </w:rPr>
              <w:t xml:space="preserve">-11.43 </w:t>
            </w:r>
          </w:p>
        </w:tc>
      </w:tr>
      <w:tr>
        <w:tblPrEx>
          <w:tblCellMar>
            <w:top w:w="0" w:type="dxa"/>
            <w:left w:w="108" w:type="dxa"/>
            <w:bottom w:w="0" w:type="dxa"/>
            <w:right w:w="108" w:type="dxa"/>
          </w:tblCellMar>
        </w:tblPrEx>
        <w:trPr>
          <w:trHeight w:val="360" w:hRule="atLeast"/>
          <w:jc w:val="center"/>
        </w:trPr>
        <w:tc>
          <w:tcPr>
            <w:tcW w:w="250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服装</w:t>
            </w:r>
          </w:p>
        </w:tc>
        <w:tc>
          <w:tcPr>
            <w:tcW w:w="1480" w:type="dxa"/>
            <w:tcBorders>
              <w:top w:val="nil"/>
              <w:left w:val="nil"/>
              <w:bottom w:val="single" w:color="auto" w:sz="4" w:space="0"/>
              <w:right w:val="single" w:color="auto" w:sz="4" w:space="0"/>
            </w:tcBorders>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万件</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693.06</w:t>
            </w:r>
          </w:p>
        </w:tc>
        <w:tc>
          <w:tcPr>
            <w:tcW w:w="1480" w:type="dxa"/>
            <w:tcBorders>
              <w:top w:val="nil"/>
              <w:left w:val="nil"/>
              <w:bottom w:val="single" w:color="auto" w:sz="4" w:space="0"/>
              <w:right w:val="single" w:color="auto" w:sz="4" w:space="0"/>
            </w:tcBorders>
            <w:noWrap w:val="0"/>
            <w:vAlign w:val="center"/>
          </w:tcPr>
          <w:p>
            <w:pPr>
              <w:jc w:val="right"/>
              <w:rPr>
                <w:rFonts w:hint="default" w:ascii="Times New Roman" w:hAnsi="Times New Roman" w:cs="Times New Roman"/>
                <w:sz w:val="20"/>
                <w:szCs w:val="20"/>
              </w:rPr>
            </w:pPr>
            <w:r>
              <w:rPr>
                <w:rFonts w:hint="default" w:ascii="Times New Roman" w:hAnsi="Times New Roman" w:cs="Times New Roman"/>
                <w:sz w:val="20"/>
                <w:szCs w:val="20"/>
              </w:rPr>
              <w:t xml:space="preserve">10.64 </w:t>
            </w:r>
          </w:p>
        </w:tc>
      </w:tr>
      <w:tr>
        <w:tblPrEx>
          <w:tblCellMar>
            <w:top w:w="0" w:type="dxa"/>
            <w:left w:w="108" w:type="dxa"/>
            <w:bottom w:w="0" w:type="dxa"/>
            <w:right w:w="108" w:type="dxa"/>
          </w:tblCellMar>
        </w:tblPrEx>
        <w:trPr>
          <w:trHeight w:val="360" w:hRule="atLeast"/>
          <w:jc w:val="center"/>
        </w:trPr>
        <w:tc>
          <w:tcPr>
            <w:tcW w:w="250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纸制品</w:t>
            </w:r>
          </w:p>
        </w:tc>
        <w:tc>
          <w:tcPr>
            <w:tcW w:w="1480" w:type="dxa"/>
            <w:tcBorders>
              <w:top w:val="nil"/>
              <w:left w:val="nil"/>
              <w:bottom w:val="single" w:color="auto" w:sz="4" w:space="0"/>
              <w:right w:val="single" w:color="auto" w:sz="4" w:space="0"/>
            </w:tcBorders>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吨</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44496</w:t>
            </w:r>
          </w:p>
        </w:tc>
        <w:tc>
          <w:tcPr>
            <w:tcW w:w="1480" w:type="dxa"/>
            <w:tcBorders>
              <w:top w:val="nil"/>
              <w:left w:val="nil"/>
              <w:bottom w:val="single" w:color="auto" w:sz="4" w:space="0"/>
              <w:right w:val="single" w:color="auto" w:sz="4" w:space="0"/>
            </w:tcBorders>
            <w:noWrap w:val="0"/>
            <w:vAlign w:val="center"/>
          </w:tcPr>
          <w:p>
            <w:pPr>
              <w:jc w:val="right"/>
              <w:rPr>
                <w:rFonts w:hint="default" w:ascii="Times New Roman" w:hAnsi="Times New Roman" w:cs="Times New Roman"/>
                <w:sz w:val="20"/>
                <w:szCs w:val="20"/>
              </w:rPr>
            </w:pPr>
            <w:r>
              <w:rPr>
                <w:rFonts w:hint="default" w:ascii="Times New Roman" w:hAnsi="Times New Roman" w:cs="Times New Roman"/>
                <w:sz w:val="20"/>
                <w:szCs w:val="20"/>
              </w:rPr>
              <w:t xml:space="preserve">10.63 </w:t>
            </w:r>
          </w:p>
        </w:tc>
      </w:tr>
      <w:tr>
        <w:tblPrEx>
          <w:tblCellMar>
            <w:top w:w="0" w:type="dxa"/>
            <w:left w:w="108" w:type="dxa"/>
            <w:bottom w:w="0" w:type="dxa"/>
            <w:right w:w="108" w:type="dxa"/>
          </w:tblCellMar>
        </w:tblPrEx>
        <w:trPr>
          <w:trHeight w:val="360" w:hRule="atLeast"/>
          <w:jc w:val="center"/>
        </w:trPr>
        <w:tc>
          <w:tcPr>
            <w:tcW w:w="250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水泥</w:t>
            </w:r>
          </w:p>
        </w:tc>
        <w:tc>
          <w:tcPr>
            <w:tcW w:w="1480" w:type="dxa"/>
            <w:tcBorders>
              <w:top w:val="nil"/>
              <w:left w:val="nil"/>
              <w:bottom w:val="single" w:color="auto" w:sz="4" w:space="0"/>
              <w:right w:val="single" w:color="auto" w:sz="4" w:space="0"/>
            </w:tcBorders>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吨</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3000758</w:t>
            </w:r>
          </w:p>
        </w:tc>
        <w:tc>
          <w:tcPr>
            <w:tcW w:w="1480" w:type="dxa"/>
            <w:tcBorders>
              <w:top w:val="nil"/>
              <w:left w:val="nil"/>
              <w:bottom w:val="single" w:color="auto" w:sz="4" w:space="0"/>
              <w:right w:val="single" w:color="auto" w:sz="4" w:space="0"/>
            </w:tcBorders>
            <w:noWrap w:val="0"/>
            <w:vAlign w:val="center"/>
          </w:tcPr>
          <w:p>
            <w:pPr>
              <w:jc w:val="right"/>
              <w:rPr>
                <w:rFonts w:hint="default" w:ascii="Times New Roman" w:hAnsi="Times New Roman" w:cs="Times New Roman"/>
                <w:sz w:val="20"/>
                <w:szCs w:val="20"/>
              </w:rPr>
            </w:pPr>
            <w:r>
              <w:rPr>
                <w:rFonts w:hint="default" w:ascii="Times New Roman" w:hAnsi="Times New Roman" w:cs="Times New Roman"/>
                <w:sz w:val="20"/>
                <w:szCs w:val="20"/>
              </w:rPr>
              <w:t xml:space="preserve">-9.06 </w:t>
            </w:r>
          </w:p>
        </w:tc>
      </w:tr>
      <w:tr>
        <w:tblPrEx>
          <w:tblCellMar>
            <w:top w:w="0" w:type="dxa"/>
            <w:left w:w="108" w:type="dxa"/>
            <w:bottom w:w="0" w:type="dxa"/>
            <w:right w:w="108" w:type="dxa"/>
          </w:tblCellMar>
        </w:tblPrEx>
        <w:trPr>
          <w:trHeight w:val="360" w:hRule="atLeast"/>
          <w:jc w:val="center"/>
        </w:trPr>
        <w:tc>
          <w:tcPr>
            <w:tcW w:w="250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光缆</w:t>
            </w:r>
          </w:p>
        </w:tc>
        <w:tc>
          <w:tcPr>
            <w:tcW w:w="1480" w:type="dxa"/>
            <w:tcBorders>
              <w:top w:val="nil"/>
              <w:left w:val="nil"/>
              <w:bottom w:val="single" w:color="auto" w:sz="4" w:space="0"/>
              <w:right w:val="single" w:color="auto" w:sz="4" w:space="0"/>
            </w:tcBorders>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芯千米</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11235552</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 xml:space="preserve">36.78 </w:t>
            </w:r>
          </w:p>
        </w:tc>
      </w:tr>
      <w:tr>
        <w:tblPrEx>
          <w:tblCellMar>
            <w:top w:w="0" w:type="dxa"/>
            <w:left w:w="108" w:type="dxa"/>
            <w:bottom w:w="0" w:type="dxa"/>
            <w:right w:w="108" w:type="dxa"/>
          </w:tblCellMar>
        </w:tblPrEx>
        <w:trPr>
          <w:trHeight w:val="360" w:hRule="atLeast"/>
          <w:jc w:val="center"/>
        </w:trPr>
        <w:tc>
          <w:tcPr>
            <w:tcW w:w="250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家用洗衣机</w:t>
            </w:r>
          </w:p>
        </w:tc>
        <w:tc>
          <w:tcPr>
            <w:tcW w:w="1480" w:type="dxa"/>
            <w:tcBorders>
              <w:top w:val="nil"/>
              <w:left w:val="nil"/>
              <w:bottom w:val="single" w:color="auto" w:sz="4" w:space="0"/>
              <w:right w:val="single" w:color="auto" w:sz="4" w:space="0"/>
            </w:tcBorders>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台</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1319444</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 xml:space="preserve">-13.38 </w:t>
            </w:r>
          </w:p>
        </w:tc>
      </w:tr>
      <w:tr>
        <w:tblPrEx>
          <w:tblCellMar>
            <w:top w:w="0" w:type="dxa"/>
            <w:left w:w="108" w:type="dxa"/>
            <w:bottom w:w="0" w:type="dxa"/>
            <w:right w:w="108" w:type="dxa"/>
          </w:tblCellMar>
        </w:tblPrEx>
        <w:trPr>
          <w:trHeight w:val="360" w:hRule="atLeast"/>
          <w:jc w:val="center"/>
        </w:trPr>
        <w:tc>
          <w:tcPr>
            <w:tcW w:w="250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家用电热水器</w:t>
            </w:r>
          </w:p>
        </w:tc>
        <w:tc>
          <w:tcPr>
            <w:tcW w:w="1480" w:type="dxa"/>
            <w:tcBorders>
              <w:top w:val="nil"/>
              <w:left w:val="nil"/>
              <w:bottom w:val="single" w:color="auto" w:sz="4" w:space="0"/>
              <w:right w:val="single" w:color="auto" w:sz="4" w:space="0"/>
            </w:tcBorders>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台</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1327031</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 xml:space="preserve">-17.46 </w:t>
            </w:r>
          </w:p>
        </w:tc>
      </w:tr>
      <w:tr>
        <w:tblPrEx>
          <w:tblCellMar>
            <w:top w:w="0" w:type="dxa"/>
            <w:left w:w="108" w:type="dxa"/>
            <w:bottom w:w="0" w:type="dxa"/>
            <w:right w:w="108" w:type="dxa"/>
          </w:tblCellMar>
        </w:tblPrEx>
        <w:trPr>
          <w:trHeight w:val="360" w:hRule="atLeast"/>
          <w:jc w:val="center"/>
        </w:trPr>
        <w:tc>
          <w:tcPr>
            <w:tcW w:w="250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家用燃气热水器</w:t>
            </w:r>
          </w:p>
        </w:tc>
        <w:tc>
          <w:tcPr>
            <w:tcW w:w="1480" w:type="dxa"/>
            <w:tcBorders>
              <w:top w:val="nil"/>
              <w:left w:val="nil"/>
              <w:bottom w:val="single" w:color="auto" w:sz="4" w:space="0"/>
              <w:right w:val="single" w:color="auto" w:sz="4" w:space="0"/>
            </w:tcBorders>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台</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308913</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 xml:space="preserve">-8.87 </w:t>
            </w:r>
          </w:p>
        </w:tc>
      </w:tr>
      <w:tr>
        <w:tblPrEx>
          <w:tblCellMar>
            <w:top w:w="0" w:type="dxa"/>
            <w:left w:w="108" w:type="dxa"/>
            <w:bottom w:w="0" w:type="dxa"/>
            <w:right w:w="108" w:type="dxa"/>
          </w:tblCellMar>
        </w:tblPrEx>
        <w:trPr>
          <w:trHeight w:val="360" w:hRule="atLeast"/>
          <w:jc w:val="center"/>
        </w:trPr>
        <w:tc>
          <w:tcPr>
            <w:tcW w:w="250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电子计算机整机</w:t>
            </w:r>
          </w:p>
        </w:tc>
        <w:tc>
          <w:tcPr>
            <w:tcW w:w="1480" w:type="dxa"/>
            <w:tcBorders>
              <w:top w:val="nil"/>
              <w:left w:val="nil"/>
              <w:bottom w:val="single" w:color="auto" w:sz="4" w:space="0"/>
              <w:right w:val="single" w:color="auto" w:sz="4" w:space="0"/>
            </w:tcBorders>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台</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597059</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 xml:space="preserve">13.49 </w:t>
            </w:r>
          </w:p>
        </w:tc>
      </w:tr>
      <w:tr>
        <w:tblPrEx>
          <w:tblCellMar>
            <w:top w:w="0" w:type="dxa"/>
            <w:left w:w="108" w:type="dxa"/>
            <w:bottom w:w="0" w:type="dxa"/>
            <w:right w:w="108" w:type="dxa"/>
          </w:tblCellMar>
        </w:tblPrEx>
        <w:trPr>
          <w:trHeight w:val="360" w:hRule="atLeast"/>
          <w:jc w:val="center"/>
        </w:trPr>
        <w:tc>
          <w:tcPr>
            <w:tcW w:w="250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打印机</w:t>
            </w:r>
          </w:p>
        </w:tc>
        <w:tc>
          <w:tcPr>
            <w:tcW w:w="1480" w:type="dxa"/>
            <w:tcBorders>
              <w:top w:val="nil"/>
              <w:left w:val="nil"/>
              <w:bottom w:val="single" w:color="auto" w:sz="4" w:space="0"/>
              <w:right w:val="single" w:color="auto" w:sz="4" w:space="0"/>
            </w:tcBorders>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台</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224517</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 xml:space="preserve">-11.63 </w:t>
            </w:r>
          </w:p>
        </w:tc>
      </w:tr>
      <w:tr>
        <w:tblPrEx>
          <w:tblCellMar>
            <w:top w:w="0" w:type="dxa"/>
            <w:left w:w="108" w:type="dxa"/>
            <w:bottom w:w="0" w:type="dxa"/>
            <w:right w:w="108" w:type="dxa"/>
          </w:tblCellMar>
        </w:tblPrEx>
        <w:trPr>
          <w:trHeight w:val="360" w:hRule="atLeast"/>
          <w:jc w:val="center"/>
        </w:trPr>
        <w:tc>
          <w:tcPr>
            <w:tcW w:w="250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智能电视</w:t>
            </w:r>
          </w:p>
        </w:tc>
        <w:tc>
          <w:tcPr>
            <w:tcW w:w="1480" w:type="dxa"/>
            <w:tcBorders>
              <w:top w:val="nil"/>
              <w:left w:val="nil"/>
              <w:bottom w:val="single" w:color="auto" w:sz="4" w:space="0"/>
              <w:right w:val="single" w:color="auto" w:sz="4" w:space="0"/>
            </w:tcBorders>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台</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1331358</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 xml:space="preserve">-16.12 </w:t>
            </w:r>
          </w:p>
        </w:tc>
      </w:tr>
      <w:tr>
        <w:tblPrEx>
          <w:tblCellMar>
            <w:top w:w="0" w:type="dxa"/>
            <w:left w:w="108" w:type="dxa"/>
            <w:bottom w:w="0" w:type="dxa"/>
            <w:right w:w="108" w:type="dxa"/>
          </w:tblCellMar>
        </w:tblPrEx>
        <w:trPr>
          <w:trHeight w:val="360" w:hRule="atLeast"/>
          <w:jc w:val="center"/>
        </w:trPr>
        <w:tc>
          <w:tcPr>
            <w:tcW w:w="250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电子元件</w:t>
            </w:r>
          </w:p>
        </w:tc>
        <w:tc>
          <w:tcPr>
            <w:tcW w:w="1480" w:type="dxa"/>
            <w:tcBorders>
              <w:top w:val="nil"/>
              <w:left w:val="nil"/>
              <w:bottom w:val="single" w:color="auto" w:sz="4" w:space="0"/>
              <w:right w:val="single" w:color="auto" w:sz="4" w:space="0"/>
            </w:tcBorders>
            <w:noWrap w:val="0"/>
            <w:vAlign w:val="center"/>
          </w:tcPr>
          <w:p>
            <w:pPr>
              <w:widowControl/>
              <w:jc w:val="center"/>
              <w:rPr>
                <w:rFonts w:hint="eastAsia" w:ascii="方正楷体_GBK" w:hAnsi="方正楷体_GBK" w:eastAsia="方正楷体_GBK" w:cs="方正楷体_GBK"/>
                <w:kern w:val="0"/>
                <w:szCs w:val="21"/>
              </w:rPr>
            </w:pPr>
            <w:r>
              <w:rPr>
                <w:rFonts w:hint="eastAsia" w:ascii="方正楷体_GBK" w:hAnsi="方正楷体_GBK" w:eastAsia="方正楷体_GBK" w:cs="方正楷体_GBK"/>
                <w:kern w:val="0"/>
                <w:szCs w:val="21"/>
              </w:rPr>
              <w:t>万只</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109782.7</w:t>
            </w:r>
          </w:p>
        </w:tc>
        <w:tc>
          <w:tcPr>
            <w:tcW w:w="1480" w:type="dxa"/>
            <w:tcBorders>
              <w:top w:val="nil"/>
              <w:left w:val="nil"/>
              <w:bottom w:val="single" w:color="auto" w:sz="4" w:space="0"/>
              <w:right w:val="single" w:color="auto" w:sz="4" w:space="0"/>
            </w:tcBorders>
            <w:noWrap w:val="0"/>
            <w:vAlign w:val="bottom"/>
          </w:tcPr>
          <w:p>
            <w:pPr>
              <w:jc w:val="right"/>
              <w:rPr>
                <w:rFonts w:hint="default" w:ascii="Times New Roman" w:hAnsi="Times New Roman" w:cs="Times New Roman"/>
                <w:sz w:val="20"/>
                <w:szCs w:val="20"/>
              </w:rPr>
            </w:pPr>
            <w:r>
              <w:rPr>
                <w:rFonts w:hint="default" w:ascii="Times New Roman" w:hAnsi="Times New Roman" w:cs="Times New Roman"/>
                <w:sz w:val="20"/>
                <w:szCs w:val="20"/>
              </w:rPr>
              <w:t xml:space="preserve">-12.47 </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20" w:lineRule="exact"/>
        <w:ind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建筑业稳定发展。</w:t>
      </w:r>
      <w:r>
        <w:rPr>
          <w:rFonts w:hint="default" w:ascii="Times New Roman" w:hAnsi="Times New Roman" w:eastAsia="方正仿宋_GBK" w:cs="Times New Roman"/>
          <w:sz w:val="32"/>
          <w:szCs w:val="32"/>
          <w:lang w:val="en-US" w:eastAsia="zh-CN"/>
        </w:rPr>
        <w:t>全年完成建筑业总产值654.86亿元，同比增长8.22%；竣工产值425.3亿元，同比增长28.46%；竣工率达64.9%。全年建筑业总产值中，建筑工程产值520.6亿元，同比增长6.67%；安装工程产值132.43亿元，同比增长18.14%；其他产值1.83亿元，同比下降63.57%。</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四、工业和建筑业</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投资增速稳步提升。</w:t>
      </w:r>
      <w:r>
        <w:rPr>
          <w:rFonts w:hint="default" w:ascii="Times New Roman" w:hAnsi="Times New Roman" w:eastAsia="方正仿宋_GBK" w:cs="Times New Roman"/>
          <w:sz w:val="32"/>
          <w:szCs w:val="32"/>
          <w:lang w:val="en-US" w:eastAsia="zh-CN"/>
        </w:rPr>
        <w:t>2019年，全区固定资产投资比上年增长10.2%。其中，工业投资比上年增长11%。工业技改投资占工业投资比重76.22%。高新技术产业投资比上年增长13.4%，占全社会投资比重66.35%。</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房地产开发投资持续增长。</w:t>
      </w:r>
      <w:r>
        <w:rPr>
          <w:rFonts w:hint="default" w:ascii="Times New Roman" w:hAnsi="Times New Roman" w:eastAsia="方正仿宋_GBK" w:cs="Times New Roman"/>
          <w:sz w:val="32"/>
          <w:szCs w:val="32"/>
          <w:lang w:val="en-US" w:eastAsia="zh-CN"/>
        </w:rPr>
        <w:t xml:space="preserve">全区房地产开发完成投资333亿元，比上年增长3.1%。施工面积1165.58万平方米，比上年增长33.3%。其中住宅施工面积808.37万平方米，比上年增长26%。新开工各类房屋面积383.07万平方米，比上年增长100.4%。其中住宅新开工241.36万平方米，比上年增长79.4%。全年房地产销售面积177.2万平方米，比上年增长74.7%，全年房地产销售额达325.87亿元，比上年增长27.6%。 </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五、交通运输和旅游业</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2019年，栖霞区交通道路总里程达到475.016公里，公路网密度达120.12公里/百平方千米。全区公交线路总长1059公里，线网长度357公里。打造交通服务民生新形象，释放更多惠民红利。全区新改建农村公路29公里，完成公共停车场建设12个，增加泊车位2257个，优化公交线路6条。</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旅游产业不断发展。</w:t>
      </w:r>
      <w:r>
        <w:rPr>
          <w:rFonts w:hint="default" w:ascii="Times New Roman" w:hAnsi="Times New Roman" w:eastAsia="方正仿宋_GBK" w:cs="Times New Roman"/>
          <w:sz w:val="32"/>
          <w:szCs w:val="32"/>
          <w:lang w:val="en-US" w:eastAsia="zh-CN"/>
        </w:rPr>
        <w:t xml:space="preserve">2019年游客接待量达680万人次，实现旅游收入80亿元。坚持共建共享，全面启动全域旅游创建工作。制作了《栖霞区全域旅游地图》、《遇见栖霞》杂志、《栖霞旅游景点介绍》、《栖霞区文旅工作集锦》等宣传资料；在新街口、珠江路、鸡鸣寺等交通要道大屏上播放15秒宣传视频，结合“周末走紫东”、“红枫节”、“幕府登高节”等旅游节庆活动，进行宣传推介，提升栖霞旅游影响力。 </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六、国内贸易和开放型经济</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消费市场运行总体平稳。2019年，全区实现社会消费品零售总额382.18亿元，比上年增长6.1%。其中，限额以上企业实现零售额239.34亿元，同比增长2.2%。</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对外贸易稳步增长。</w:t>
      </w:r>
      <w:r>
        <w:rPr>
          <w:rFonts w:hint="default" w:ascii="Times New Roman" w:hAnsi="Times New Roman" w:eastAsia="方正仿宋_GBK" w:cs="Times New Roman"/>
          <w:sz w:val="32"/>
          <w:szCs w:val="32"/>
          <w:lang w:val="en-US" w:eastAsia="zh-CN"/>
        </w:rPr>
        <w:t xml:space="preserve">2019年，全区实现进出口总额915.5亿元，同比增长9.41%。其中，出口443亿元，同比增长33.7%；完成实际使用外资8.75亿美元，占全市比重21.3%；新设立外资项目53个，增资项目16个，总投资/净增资3000万美元以上项目10个；完成对外承包工程营业额3.13亿美元；完成离岸服务外包执行额2.7亿美元，同比增长11.5%；完成服务贸易进出口总额5.99亿美元，同比下降6.5%。 </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七、财政</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财政收入稳定增长。</w:t>
      </w:r>
      <w:r>
        <w:rPr>
          <w:rFonts w:hint="default" w:ascii="Times New Roman" w:hAnsi="Times New Roman" w:eastAsia="方正仿宋_GBK" w:cs="Times New Roman"/>
          <w:sz w:val="32"/>
          <w:szCs w:val="32"/>
          <w:lang w:val="en-US" w:eastAsia="zh-CN"/>
        </w:rPr>
        <w:t>2019年，栖霞板块财政总收入（含南京经济技术开发区，下同）实现256.56亿元，直比增长12.08%。其中：一般公共预算收入148.1亿元，总量在全市各区中排名第三（不含江北新区），同口径增长10.82%。</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支出结构持续改善。</w:t>
      </w:r>
      <w:r>
        <w:rPr>
          <w:rFonts w:hint="default" w:ascii="Times New Roman" w:hAnsi="Times New Roman" w:eastAsia="方正仿宋_GBK" w:cs="Times New Roman"/>
          <w:sz w:val="32"/>
          <w:szCs w:val="32"/>
          <w:lang w:val="en-US" w:eastAsia="zh-CN"/>
        </w:rPr>
        <w:t xml:space="preserve">2019年，栖霞板块实现财政支出214.88亿元，同比增长84.55%，其中：一般公共预算支出93.31亿元，同比增长2.59%。教育、文化旅游体育与传媒、社会保障和就业、卫生健康、节能环保、住房保障等民生领域支出37.72亿元，同比增长10.21%。 </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八、人才、科学技术和教育</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2019年，全区26人入选市“创业南京”高层次创业人才引进计划（行政区15人、开发区11人）； 11人入选“省双创人才计划”（行政区5人，开发区6人），其中双创人才6人（行政区2人，开发区4人），双创博士5人（行政区3人，开发区2人）。</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企业创新人才培养力度进一步加大。</w:t>
      </w:r>
      <w:r>
        <w:rPr>
          <w:rFonts w:hint="default" w:ascii="Times New Roman" w:hAnsi="Times New Roman" w:eastAsia="方正仿宋_GBK" w:cs="Times New Roman"/>
          <w:sz w:val="32"/>
          <w:szCs w:val="32"/>
          <w:lang w:val="en-US" w:eastAsia="zh-CN"/>
        </w:rPr>
        <w:t xml:space="preserve">12人入选南京市创新型企业家培育计划（行政区6人，开发区6人），5人入选科技顶尖专家集聚计划（行政区3人，开发区2人），其中A类专家4人（行政区3人，开发区1人），B类专家1人在开发区入选。 </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突出创新主体服务。</w:t>
      </w:r>
      <w:r>
        <w:rPr>
          <w:rFonts w:hint="default" w:ascii="Times New Roman" w:hAnsi="Times New Roman" w:eastAsia="方正仿宋_GBK" w:cs="Times New Roman"/>
          <w:sz w:val="32"/>
          <w:szCs w:val="32"/>
          <w:lang w:val="en-US" w:eastAsia="zh-CN"/>
        </w:rPr>
        <w:t>2019年，全区新增高新技术企业167家，高新技术产业投资额增速达13.4%；我区647家企业通过省科技型中小企业入库，27家企业入选省民营科技企业；全区共拥有新型研发机构累计达50家，通过市级备案认定的共计31家，其中新增备案新型研发机构14家；培育备案新型研发机构4家；新增新研孵化和引进企业471家；技术合同登记额达53亿元。获得省、市级企业工程技术研究中心认定20家；新认定省、市级众创空间9家，市级科技企业孵化器1家。2019年，栖霞区高度重视科技创业家培养工作，积极兑现科技创业家扶持政策，全区入选科技顶尖专家5人，入选创新型企业家6人。</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完善技术市场体系。</w:t>
      </w:r>
      <w:r>
        <w:rPr>
          <w:rFonts w:hint="default" w:ascii="Times New Roman" w:hAnsi="Times New Roman" w:eastAsia="方正仿宋_GBK" w:cs="Times New Roman"/>
          <w:sz w:val="32"/>
          <w:szCs w:val="32"/>
          <w:lang w:val="en-US" w:eastAsia="zh-CN"/>
        </w:rPr>
        <w:t>完善市场化技术转移机制，吸纳西安交通大学、南开大学、江南大学等国内知名高校加入栖霞高校技术转移联盟，联盟内高校数量已达37所，推动南京航空航天大学、中国药科大学2家建立高校技术转移中心栖霞分中心，目前高校技术转移分中心已建12所。持续扩充“霞科行”四大数据库，完成新增科技成果信息库超10000项、企业技术需求136个、高校院所专家库112人、高校科研平台36个，累计服务企业超2000家，签订在线技术交易合同76项，合同金额超3100万元。2019年3月，“霞科行”区级技术转移市场经验做法《打通科技成果转化的“关键一环”——栖霞区的实践与探索》登载于江苏省人民政府研究室调查研究报告。</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加大科普资源整合。</w:t>
      </w:r>
      <w:r>
        <w:rPr>
          <w:rFonts w:hint="default" w:ascii="Times New Roman" w:hAnsi="Times New Roman" w:eastAsia="方正仿宋_GBK" w:cs="Times New Roman"/>
          <w:sz w:val="32"/>
          <w:szCs w:val="32"/>
          <w:lang w:val="en-US" w:eastAsia="zh-CN"/>
        </w:rPr>
        <w:t>2019年，举办各类规模科普宣传活动超500场，各类各项培训超1万人次；同时9街道2园区7企业设有组织架构，科普工作者逾500人。入选2019年江苏省“基层科普行动计划”项目2个、省级科普示范创建基地4家、市级科普示范创建基地1家；参加市科协“讲理想，比贡献”活动获优秀项目4家、先进个人2人次；南京市科普讲解大赛获奖2人次。进一步推动技术应用和产业化示范，获南京市“双百工程”项目立项4个，市金桥工程项目立项4个、优秀项目1项。</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推进创新平台提质升级。</w:t>
      </w:r>
      <w:r>
        <w:rPr>
          <w:rFonts w:hint="default" w:ascii="Times New Roman" w:hAnsi="Times New Roman" w:eastAsia="方正仿宋_GBK" w:cs="Times New Roman"/>
          <w:sz w:val="32"/>
          <w:szCs w:val="32"/>
          <w:lang w:val="en-US" w:eastAsia="zh-CN"/>
        </w:rPr>
        <w:t>竭力做好省级孵化器、众创空间申报工作。指导我区杏林汇成功认定省级孵化器，大公车、紫金汇才2家成功备案省级众创空间，金港创盈未来1家成功认定市级孵化器，兰创汇等7家成功备案市级众创空间；下达栖霞区2019年第一批科技创新平台建设专项扶持资金，对9家新认定、备案及升级的科创载体兑现奖励资金。</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教育成果喜人。</w:t>
      </w:r>
      <w:r>
        <w:rPr>
          <w:rFonts w:hint="default" w:ascii="Times New Roman" w:hAnsi="Times New Roman" w:eastAsia="方正仿宋_GBK" w:cs="Times New Roman"/>
          <w:sz w:val="32"/>
          <w:szCs w:val="32"/>
          <w:lang w:val="en-US" w:eastAsia="zh-CN"/>
        </w:rPr>
        <w:t>2019年全区实际参加高考1260人，普通类本二以上、体艺类公办本科达线合计1054人。全区参加中考3740人，总均分515.72分，8门中考学科均分超过市均分。新港中专校参加省技能大赛获得两金两银两铜的好成绩。教育资源不断优化。2019年引进1名正高级教师，5名市学科带头人，全年招聘540名新教师，面向全国引进22名骨干教师。重点配置教育技术装备，提升全区中小学的办学条件，2019年全年开标109次，共投入技装经费11439万元。2019年投入使用配建小学3所、幼儿园4所，新增校舍建筑面积约79076平方米。2019年校舍抗震加固与扩建改造项目3个，总计投入建设资金0.9亿元。加大维修经费投入力度，完成校舍维修10.5万平方米，投入资金1500万元。</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九、文化、体育和卫生</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2019年，全区共举办群众文艺活动1192场，参与群众21万余人；区文化馆共开展培训、演出、展览等各类文化活动374场，累计服务人次达近10万人次；区图书馆共接待读者约60万人次，书刊外借约85万册次。结合紫东大发展战略，在西岗桦墅举办了第20届金秋栖霞艺术节开幕式暨“周末走紫东”活动启动仪式，举办“读创栖霞”读书节系列活动。原创舞蹈《这么近 那么远》获得江苏省五星工程奖，代表南京市和江苏省进入第十二届中国艺术节暨第十八届全国群星奖决赛，获得了入围作品奖。贯彻落实“保护为主、抢救第一、合理利用、加强管理”的文物工作方针，强化文物安全保护，开展区级文物保护单位“两线”划定工作，在区内开展系列非遗和传统文化推广专场活动。    </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体育事业健康发展。</w:t>
      </w:r>
      <w:r>
        <w:rPr>
          <w:rFonts w:hint="default" w:ascii="Times New Roman" w:hAnsi="Times New Roman" w:eastAsia="方正仿宋_GBK" w:cs="Times New Roman"/>
          <w:sz w:val="32"/>
          <w:szCs w:val="32"/>
          <w:lang w:val="en-US" w:eastAsia="zh-CN"/>
        </w:rPr>
        <w:t>以“让全区居民运动起来”为目标，广泛开展全民健身活动，重点打造“四季品牌”赛事。先后举办了春季“仙林半程马拉松赛”，夏季“八卦洲龙舟公开赛”，秋季“秋栖霞”登山大赛，冬季桦墅越野挑战赛，区第十六届全民健身运动会乒乓球、羽毛球、掼蛋、篮球比赛，2019年祥和雅苑社区居民趣味运动会，2019年“舞韵金陵”广场舞大赛（栖霞站选拔赛），区第二届八人制足球赛、中国钓鱼节“陌上花渡”钓鱼大赛、江苏省围棋嘉年华等。</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进一步完善群众身边体育服务组织。</w:t>
      </w:r>
      <w:r>
        <w:rPr>
          <w:rFonts w:hint="default" w:ascii="Times New Roman" w:hAnsi="Times New Roman" w:eastAsia="方正仿宋_GBK" w:cs="Times New Roman"/>
          <w:sz w:val="32"/>
          <w:szCs w:val="32"/>
          <w:lang w:val="en-US" w:eastAsia="zh-CN"/>
        </w:rPr>
        <w:t>全年新增体育协会1个，体育俱乐部2个；加大科学健身指导力度，开展科学健身大讲堂6期，在9个街道开展国民体质监测，为居民开具运动处方，指导科学健身，共监测服务6487人，国民体质合格率达97.6%；组队参加国家、省、市社会体育指导员培训。选派24名社会体育指导员参加省一线再培训；参加国家级培训10人，省一级12人，市二级79人；区内开展三级社会体育指导员培训六期，共培训833人。</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按照“10分钟体育健身圈”标准，2019年，对现有设施加大提档升级力度，新建更新健身路径33套，篮球场7个，室内外乒乓球桌48张，全区现有健身路径412套，健身小绿园10个，健身步道95公里。在建设的同时，进一步加强了健身器材日常监管维护，启用了“栖霞区健身路径巡检修平台”，实现了体育设施信息化、网格化管理，确保了群众健身安全。</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优化训练项目布局</w:t>
      </w:r>
      <w:r>
        <w:rPr>
          <w:rFonts w:hint="eastAsia" w:ascii="方正楷体_GBK" w:hAnsi="方正楷体_GBK" w:eastAsia="方正楷体_GBK" w:cs="方正楷体_GBK"/>
          <w:sz w:val="32"/>
          <w:szCs w:val="32"/>
          <w:lang w:val="en-US" w:eastAsia="zh-CN"/>
        </w:rPr>
        <w:t>。</w:t>
      </w:r>
      <w:r>
        <w:rPr>
          <w:rFonts w:hint="default" w:ascii="Times New Roman" w:hAnsi="Times New Roman" w:eastAsia="方正仿宋_GBK" w:cs="Times New Roman"/>
          <w:sz w:val="32"/>
          <w:szCs w:val="32"/>
          <w:lang w:val="en-US" w:eastAsia="zh-CN"/>
        </w:rPr>
        <w:t>在金陵小学、丁家庄中学、金陵中学仙林分校、太阳城小学、晓院附小等学校，设立柔道、跆拳道、篮球、击剑、赛艇等项目布局，培养选拔优秀体育后备人才，2019年向市级运动队输送优秀运动员72人。成功举办2019年区中小学“区长杯”足球赛、冬季阳光体育运动联赛。区体校组队参加了2019年南京市阳光体育联赛，包括柔道、跆拳道、击剑、赛艇、游泳、武术等项目，获得金牌65块、银牌55块、铜牌46块。我区射击（飞碟）队为市队区办项目，今年代表南京市参加省青少年射击（飞碟）锦标赛获得金牌3块、银牌1块、铜牌4块；参加省冠军赛获得金牌1块、铜牌4块。输送的运动员王宇豪代表江苏省参加全国第二届青年运动会获得射击（飞碟）比赛多向混合团体冠军。</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2019年末，全区共有各类医疗卫生机构239家（含驻区医疗机构），其中：三级医院2家、二级医院7家，公共卫生单位3家、社区卫生服务中心10家、社区卫生服务站30家，另外还有社会和企事业单位举办的门诊部以上医疗机构40家，诊所、卫生所和医务室等147家。全区编制床位3425张，实有床位3237张，卫生技术人员5183人。其中，执业（助理）医师2097人，护士2240人，全区平均每千人口拥有床位4.45张、卫技人员7.12人、执业（助理）医师2.88人、注册护士数3.08人。央视《焦点访谈》以“家门口有了社区医院”为主题，宣传报道西岗社区卫生服务中心在社区医院试点建设中的经验做法，综合医改考核栖霞区获全市第二名，区卫生健康委荣获“全省卫生健康系统先进集体”荣誉称号。 </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卫生服务水平逐年提升。</w:t>
      </w:r>
      <w:r>
        <w:rPr>
          <w:rFonts w:hint="default" w:ascii="Times New Roman" w:hAnsi="Times New Roman" w:eastAsia="方正仿宋_GBK" w:cs="Times New Roman"/>
          <w:sz w:val="32"/>
          <w:szCs w:val="32"/>
          <w:lang w:val="en-US" w:eastAsia="zh-CN"/>
        </w:rPr>
        <w:t>2019年全区完成查螺面积3934.69万平方米，查出有螺面积264.89万平方米；完成药物灭螺1015.67万平方米，全区免疫规划疫苗共接种198733剂次，免疫规划疫苗接种率达到98％以上，非免疫规划疫苗接种121496剂次；慢性病和重症精神病防控工作持续推进。高血压病人健康管理55828人，任务完成率98.15%，规范管理44871人，规范管理率80.37%，血压控制率53.46%；糖尿病病人健康管理20691人，任务完成率110.91%，规范管理16653人，规范管理率80.48%，血糖控制率51.37%；严重精神障碍累计共录入1731份，检出率2.41‰，检出患者管理率98.84%，规范管理率98.56%，面访率81.46%；孕产妇健康管理率97.59%、孕产妇系统管理率94.19%，孕产妇无死亡发生。婴儿死亡率1.47‰，新生儿死亡率1.2‰,5岁以下儿童死亡率2.27‰，出生缺陷发生率5.88‰，围产儿死亡率2.78‰。</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2019年6月，龙潭社区卫生服务中心新院区正式启用，推动燕子矶社区卫生服务中心新院区建设，协调马群、迈皋桥保障房二期社区卫生配套工程的规划设计，加强栖霞街道华侨城、石埠桥和龙潭新城区医疗配套设施规划工作对接，靖安、龙潭等2家社区卫生服务中心，通过市级妇幼健康服务机构标准化建设评审，新建公共场所母婴室5家。成功创建省级基层特色科室2个（迈皋桥社区卫生服务中心康复医学科、西岗社区卫生服务中心呼吸内科）、市级基层特色科室5个（仙林社区卫生服务中心康复医学科、燕子矶社区卫生服务中心骨伤科、龙潭社区卫生服务中心针灸科、八卦洲社区卫生服务中心康复医学科、糖尿病专科）。医疗卫生服务体系健全率达到100%。</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2019年省人民医院在栖霞区医院挂牌成立江苏省人民医院血管外科栖霞院区静脉疾病治疗中心、章希炜教授工作室。以栖霞区医院为龙头、10家社区卫生服务中心为纽带，启动互联网+护理，受到国家和省市卫健委肯定。积极推进栖霞区医院扩容、区妇幼保健院转型发展。通过深化“院府合作”，充分整合区内外优质医疗资源，全面推开跨区域医联体建设，形成以省人民医院、南医大二附院等优质医疗资源为支撑，以区属2家二级医院为纽带，以10家基层社区卫生服务中心为基础的“三级医院+二级医院+社区卫生服务中心”共同发展的“1+1+X”区域医联体新模式。栖霞区医院与龙潭社区卫生服务中心启用联合病房，深受当地居民好评。</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十、节能降耗和环保</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2019年，全区规模以上工业企业综合能耗消费量累计为747.01万吨标准煤，同比下降3.5%；煤炭消费累计924.67万吨，同比下降2.1%。全年工业用电量69.16亿千瓦时，同比下降0.17%，污水处理企业污水处理量4184.94万立方米，比上年增长7.16%。</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2019年，全区PM2.5平均浓度为38.5μg/m3；空气优良率为70.7%，全区降尘平均浓度为3.8吨/平方公里•月，功能区噪声达标率75%，区域环境噪声53.3分贝。全区危废库存按计划缩减，保持库存量比2018年同期消减40%。</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2019年，污染源在线监控平台接入16家污染源企业，废气企业7家、20个监控点，废水企业11家、14个监控点，其中2家企业兼有废水、废气监控点。污染源在线监控平台由专人负责看管，每日监控企业在线数据，一旦发现数据异常，立即通报给相关人员，做到及时发现、及时处理。 </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十一、人民生活和社会保障</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截止2019年末，全区常住人口73.59万人，比上年增长1.15%。人口出生率10.44‰，比上年增长3.22个千分点，死亡率5.19‰，比上年下降0.49个千分点，人口自然增长率5.25‰，比上年增长3.71个千分点。城镇化率83.62%，比上年增长1.8个百分点。</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居民收入稳步提高。</w:t>
      </w:r>
      <w:r>
        <w:rPr>
          <w:rFonts w:hint="default" w:ascii="Times New Roman" w:hAnsi="Times New Roman" w:eastAsia="方正仿宋_GBK" w:cs="Times New Roman"/>
          <w:sz w:val="32"/>
          <w:szCs w:val="32"/>
          <w:lang w:val="en-US" w:eastAsia="zh-CN"/>
        </w:rPr>
        <w:t>2019年，栖霞区城镇居民人均可支配收</w:t>
      </w:r>
      <w:r>
        <w:rPr>
          <w:rFonts w:hint="eastAsia" w:ascii="Times New Roman" w:hAnsi="Times New Roman" w:eastAsia="方正仿宋_GBK" w:cs="Times New Roman"/>
          <w:sz w:val="32"/>
          <w:szCs w:val="32"/>
          <w:lang w:val="en-US" w:eastAsia="zh-CN"/>
        </w:rPr>
        <w:t>入</w:t>
      </w:r>
      <w:r>
        <w:rPr>
          <w:rFonts w:hint="default" w:ascii="Times New Roman" w:hAnsi="Times New Roman" w:eastAsia="方正仿宋_GBK" w:cs="Times New Roman"/>
          <w:sz w:val="32"/>
          <w:szCs w:val="32"/>
          <w:lang w:val="en-US" w:eastAsia="zh-CN"/>
        </w:rPr>
        <w:t>62742.5元，比上年增长8.6%。</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就业环境总体良好。</w:t>
      </w:r>
      <w:r>
        <w:rPr>
          <w:rFonts w:hint="default" w:ascii="Times New Roman" w:hAnsi="Times New Roman" w:eastAsia="方正仿宋_GBK" w:cs="Times New Roman"/>
          <w:sz w:val="32"/>
          <w:szCs w:val="32"/>
          <w:lang w:val="en-US" w:eastAsia="zh-CN"/>
        </w:rPr>
        <w:t>2019年，全区城镇新增就业24978人，实现再就业10251人，援助困难人员就业1183人，培育自主创业者4304人、创业带动就业18303人、扶持大学生创业644人；完成城乡新成长劳动力培训1309人次、城镇失业人员职业培训4363人次、创业培训1654人次、农村劳动力职业培训4242人次、在职职工培训29240人次、政府补贴性职业培训10269人次，完成职业技能鉴定取证2649人，新增高技能人才700人；开展企业工</w:t>
      </w:r>
      <w:bookmarkStart w:id="0" w:name="_GoBack"/>
      <w:bookmarkEnd w:id="0"/>
      <w:r>
        <w:rPr>
          <w:rFonts w:hint="default" w:ascii="Times New Roman" w:hAnsi="Times New Roman" w:eastAsia="方正仿宋_GBK" w:cs="Times New Roman"/>
          <w:sz w:val="32"/>
          <w:szCs w:val="32"/>
          <w:lang w:val="en-US" w:eastAsia="zh-CN"/>
        </w:rPr>
        <w:t>资集体合同审查数776份，劳动保障书面审查7557户，受理工伤认定案件704起；仲裁院立案受理并审理结案劳动人事争议案件630件；追讨农民工工资及各类补偿3150余万元，涉及劳动者2800余人。</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社会保障事业水平持续提升。</w:t>
      </w:r>
      <w:r>
        <w:rPr>
          <w:rFonts w:hint="default" w:ascii="Times New Roman" w:hAnsi="Times New Roman" w:eastAsia="方正仿宋_GBK" w:cs="Times New Roman"/>
          <w:sz w:val="32"/>
          <w:szCs w:val="32"/>
          <w:lang w:val="en-US" w:eastAsia="zh-CN"/>
        </w:rPr>
        <w:t>全区企业职工基本养老保险净增缴费13471人，本市户籍社会保险中断缴费续保4873人，五项社会保险费征收总额453334万元；企业退休人员免费体检41230人；城乡居民养老保险参保缴费10006人；社会保障卡新制卡发卡93162张。</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社会救助力度不断加大。</w:t>
      </w:r>
      <w:r>
        <w:rPr>
          <w:rFonts w:hint="default" w:ascii="Times New Roman" w:hAnsi="Times New Roman" w:eastAsia="方正仿宋_GBK" w:cs="Times New Roman"/>
          <w:sz w:val="32"/>
          <w:szCs w:val="32"/>
          <w:lang w:val="en-US" w:eastAsia="zh-CN"/>
        </w:rPr>
        <w:t>2019年，全区城乡低保统筹持续同标，人均标准增至每月900元。截止到2019年12月，全区城乡低保2792户、3705人，发放低保金3156.71万元；栖霞区生活困难补助平台958户、1382人，发放补助金467.34万元；残疾人生活补贴、护理补贴覆盖率100%，共发放两补贴2814.93万元。困难群众综合医疗救助106人次，147.62万元；全区关爱老人补助1583人，累计发放补助金193.29万元；特困供养对象248人，发放生活补助453万元。临时救助335人次，发放603.8万元；支出型生活救助228人次，发放101.59万元；市级医疗救助45865人次，发放医疗救助金1084.72万元；区困难平台人员医疗救助254人次，发放医疗救助金100.57万元；早期征地拆迁生活困难人员医疗救助 19077人次，发放医疗救助金522万元。</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扶贫助困慈善捐款活动积极开展。</w:t>
      </w:r>
      <w:r>
        <w:rPr>
          <w:rFonts w:hint="default" w:ascii="Times New Roman" w:hAnsi="Times New Roman" w:eastAsia="方正仿宋_GBK" w:cs="Times New Roman"/>
          <w:sz w:val="32"/>
          <w:szCs w:val="32"/>
          <w:lang w:val="en-US" w:eastAsia="zh-CN"/>
        </w:rPr>
        <w:t>2019年度共完成“慈善一日捐”205万余元，募集善款总额达380万元，当年开展各类慈善救助 367万元。全面开展春节慰问困难群众活动，共走访慰问困难群众和优抚对象40553户，发放慰问金3277.953万元。</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养老服务能力持续提高。</w:t>
      </w:r>
      <w:r>
        <w:rPr>
          <w:rFonts w:hint="default" w:ascii="Times New Roman" w:hAnsi="Times New Roman" w:eastAsia="方正仿宋_GBK" w:cs="Times New Roman"/>
          <w:sz w:val="32"/>
          <w:szCs w:val="32"/>
          <w:lang w:val="en-US" w:eastAsia="zh-CN"/>
        </w:rPr>
        <w:t xml:space="preserve">2019年度，全区开展“关爱老人”活动，共为1583名老人，发放生活补助193.29万元。截至2019年底，全区共有民办养老机构22家，公办养老院3家，机构床位3194张。积极发展居家养老，已建成社区居家养老服务站133家，社区覆盖率达100%，居家床位1564张。养老床位总数4758张，每千名老人拥有床位数达42张。全年累计发放尊老金约950万元；累计开展各类老年人文体活动上千场次。 </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十二、重点区域经济发展情况</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南京经济开发区</w:t>
      </w:r>
      <w:r>
        <w:rPr>
          <w:rFonts w:hint="default" w:ascii="Times New Roman" w:hAnsi="Times New Roman" w:eastAsia="方正仿宋_GBK" w:cs="Times New Roman"/>
          <w:sz w:val="32"/>
          <w:szCs w:val="32"/>
        </w:rPr>
        <w:t>成立于1992年9月18日，位于南京市栖霞区西部，2002年3月被批准为国家级经济技术开发区。开发区划分为新港、栖霞、龙潭、液晶谷四大片区，2012年5月14日起托管龙潭街道、栖霞街道、西岗街道三个街道。</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南京经济技术开发区以外向型规模制造业为主，形成以光电、电子、有色金属、生物医药等龙头产业带领的制造业产业集群。2019年共实现规模工业总产值3003.07亿元，占全区规模工业总产值的98.5%，同比增长5.1%，是全区工业的重中之重。</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截止2019年底，南京经济技术开发区共有各类四上企业家数473家，其中规上工业企业241家，资质以上建筑业41家，规模以上其他服务业95家，限额以上商贸业 88家，资质以上房地产开发业 8 家。</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2019年，南京经济技术开发区规模以上工业企业完成主营业收入2916.85亿元，同比增长0.61%；综合能源消费量745.19万吨标准煤，同比下降3.5%，原煤消费量924.25万吨，同比下降2.1%；完成一般公共预算收入101.5亿元，占全区的比重为68.5%，同比增长5.53%；外贸进出口总额842.3亿元，同比增长10.1%；实际使用外资6.9亿美元，同比增长19.2%。</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b/>
          <w:bCs/>
          <w:sz w:val="32"/>
          <w:szCs w:val="32"/>
        </w:rPr>
        <w:t>南京仙林大学城</w:t>
      </w:r>
      <w:r>
        <w:rPr>
          <w:rFonts w:hint="default" w:ascii="Times New Roman" w:hAnsi="Times New Roman" w:eastAsia="方正仿宋_GBK" w:cs="Times New Roman"/>
          <w:sz w:val="32"/>
          <w:szCs w:val="32"/>
        </w:rPr>
        <w:t>位于栖霞区西部，作为仙林副城集中发展区域的大学城，仙林大学城由大学集中区和科技产业区组成。</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2019年，大学城地区实现地区生产总值184.44亿元，名义增长率9.08%，占全区的比重达到12.01%。从产业结构看，二产业实现增加值3.23亿元，第三产业实现增加值181.19亿元。第三产业占大学城GDP比重达到98.24%。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仙林大学城共有各类四上单位109家，其中资质以上建筑业15家，规模以上其他服务业41家，限额以上商贸业 39家，资质以上房地产开发业14 家。</w:t>
      </w:r>
    </w:p>
    <w:p>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2019年大学城实现全社会固定资产投资93.36亿元，同比下降6.66%，占全区比重约为17.87%，其中，市级重大项目完成投资额41.15亿元，完成2019年计划总投资97.8%；实现社会消费品零售总额41.69亿元，占全区比重10.9%，同比增长10.6%，为全区消费品市场的平稳运行起到较好的带动作用。规上服务业企业完成营业收入35.1亿元，比上年增长0.42%，营业收入占全区比重12.6%</w:t>
      </w:r>
      <w:r>
        <w:rPr>
          <w:rFonts w:hint="default" w:ascii="Times New Roman" w:hAnsi="Times New Roman" w:eastAsia="方正仿宋_GBK" w:cs="Times New Roman"/>
          <w:sz w:val="32"/>
          <w:szCs w:val="32"/>
          <w:lang w:val="en-US" w:eastAsia="zh-CN"/>
        </w:rPr>
        <w:t>。</w:t>
      </w:r>
    </w:p>
    <w:p>
      <w:pPr>
        <w:spacing w:line="560" w:lineRule="exact"/>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注释：</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①地区生产总值和各产业增加值绝对数按现行价格计算，增长速度按可比价计算。</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②按现行统计划分标准：规模以上工业是指主营业务收入2000万元以上的法人企业；限额以上批发业是指主营业务收入2000万元以上的批发业法人企业、产业活动单位和个体经营户；限额以上零售业是指主营业务收入500万元以上的零售业法人企业、产业活动单位和个体经营户；限额以上住宿餐饮业是指主营业务收入200万元以上的住宿餐饮业法人企业、产业活动单位和个体经营户。</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③本公报中的部门统计数据分别来自于区农业农村局、区商务局、区交通运输局、区文化旅游局、区财政局、区</w:t>
      </w:r>
      <w:r>
        <w:rPr>
          <w:rFonts w:hint="eastAsia" w:ascii="方正楷体_GBK" w:hAnsi="方正楷体_GBK" w:eastAsia="方正楷体_GBK" w:cs="方正楷体_GBK"/>
          <w:sz w:val="28"/>
          <w:szCs w:val="28"/>
          <w:lang w:val="en-US" w:eastAsia="zh-CN"/>
        </w:rPr>
        <w:t>人才工作领导小组办公室</w:t>
      </w:r>
      <w:r>
        <w:rPr>
          <w:rFonts w:hint="eastAsia" w:ascii="方正楷体_GBK" w:hAnsi="方正楷体_GBK" w:eastAsia="方正楷体_GBK" w:cs="方正楷体_GBK"/>
          <w:sz w:val="28"/>
          <w:szCs w:val="28"/>
        </w:rPr>
        <w:t>、区科学技术局、区教育局、区卫生健康委员会、</w:t>
      </w:r>
      <w:r>
        <w:rPr>
          <w:rFonts w:hint="eastAsia" w:ascii="方正楷体_GBK" w:hAnsi="方正楷体_GBK" w:eastAsia="方正楷体_GBK" w:cs="方正楷体_GBK"/>
          <w:sz w:val="28"/>
          <w:szCs w:val="28"/>
          <w:lang w:val="en-US" w:eastAsia="zh-CN"/>
        </w:rPr>
        <w:t>区生态环境局</w:t>
      </w:r>
      <w:r>
        <w:rPr>
          <w:rFonts w:hint="eastAsia" w:ascii="方正楷体_GBK" w:hAnsi="方正楷体_GBK" w:eastAsia="方正楷体_GBK" w:cs="方正楷体_GBK"/>
          <w:sz w:val="28"/>
          <w:szCs w:val="28"/>
        </w:rPr>
        <w:t>、区体育局、区人力资源和社会保障局及区民政局。</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④公报中部分数据为初步统计数，正式统计数据以《栖霞统计年鉴》为准。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⑤部分数据因四舍五入的原因，存在着与分项合计不等的情况。</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楷体_GBK" w:hAnsi="方正楷体_GBK" w:eastAsia="方正楷体_GBK" w:cs="方正楷体_GBK"/>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楷体_GBK" w:hAnsi="方正楷体_GBK" w:eastAsia="方正楷体_GBK" w:cs="方正楷体_GBK"/>
          <w:sz w:val="28"/>
          <w:szCs w:val="28"/>
        </w:rPr>
      </w:pPr>
    </w:p>
    <w:p>
      <w:pPr>
        <w:keepNext w:val="0"/>
        <w:keepLines w:val="0"/>
        <w:pageBreakBefore w:val="0"/>
        <w:kinsoku/>
        <w:wordWrap/>
        <w:overflowPunct/>
        <w:topLinePunct w:val="0"/>
        <w:autoSpaceDE/>
        <w:autoSpaceDN/>
        <w:bidi w:val="0"/>
        <w:adjustRightInd/>
        <w:snapToGrid/>
        <w:spacing w:line="540" w:lineRule="exact"/>
        <w:ind w:firstLine="640"/>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（撰稿人：</w:t>
      </w:r>
      <w:r>
        <w:rPr>
          <w:rFonts w:hint="default" w:ascii="Times New Roman" w:hAnsi="Times New Roman" w:eastAsia="方正仿宋_GBK" w:cs="Times New Roman"/>
          <w:sz w:val="32"/>
          <w:szCs w:val="32"/>
          <w:lang w:val="en-US" w:eastAsia="zh-CN"/>
        </w:rPr>
        <w:t>许丽丽</w:t>
      </w:r>
      <w:r>
        <w:rPr>
          <w:rFonts w:hint="default" w:ascii="Times New Roman" w:hAnsi="Times New Roman" w:eastAsia="方正仿宋_GBK" w:cs="Times New Roman"/>
          <w:sz w:val="32"/>
          <w:szCs w:val="32"/>
        </w:rPr>
        <w:t>）</w:t>
      </w:r>
    </w:p>
    <w:sectPr>
      <w:footerReference r:id="rId3" w:type="default"/>
      <w:pgSz w:w="11906" w:h="16838"/>
      <w:pgMar w:top="1418" w:right="1417" w:bottom="1418" w:left="1417" w:header="851" w:footer="992" w:gutter="0"/>
      <w:pgBorders>
        <w:top w:val="none" w:sz="0" w:space="0"/>
        <w:left w:val="none" w:sz="0" w:space="0"/>
        <w:bottom w:val="none" w:sz="0" w:space="0"/>
        <w:right w:val="none" w:sz="0" w:space="0"/>
      </w:pgBorders>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pict>
        <v:shape id="_x0000_s4097" o:spid="_x0000_s4097" o:spt="202" type="#_x0000_t202" style="position:absolute;left:0pt;margin-top:0pt;height:16.9pt;width:23.25pt;mso-position-horizontal:outside;mso-position-horizontal-relative:margin;z-index:251659264;mso-width-relative:page;mso-height-relative:page;" filled="f" stroked="f" coordsize="21600,21600">
          <v:path/>
          <v:fill on="f" focussize="0,0"/>
          <v:stroke on="f" joinstyle="miter"/>
          <v:imagedata o:title=""/>
          <o:lock v:ext="edit"/>
          <v:textbox inset="0mm,0mm,0mm,0mm">
            <w:txbxContent>
              <w:p>
                <w:pPr>
                  <w:pStyle w:val="3"/>
                  <w:jc w:val="center"/>
                  <w:rPr>
                    <w:rFonts w:ascii="Times New Roman" w:hAnsi="Times New Roman"/>
                    <w:sz w:val="24"/>
                    <w:szCs w:val="24"/>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w:t>
                </w:r>
                <w:r>
                  <w:rPr>
                    <w:rFonts w:ascii="Times New Roman" w:hAnsi="Times New Roman"/>
                    <w:sz w:val="28"/>
                    <w:szCs w:val="28"/>
                  </w:rPr>
                  <w:t xml:space="preserve"> 6 -</w:t>
                </w:r>
                <w:r>
                  <w:rPr>
                    <w:rFonts w:ascii="Times New Roman" w:hAnsi="Times New Roman"/>
                    <w:sz w:val="28"/>
                    <w:szCs w:val="28"/>
                    <w:lang w:val="zh-CN"/>
                  </w:rPr>
                  <w:fldChar w:fldCharType="end"/>
                </w:r>
              </w:p>
            </w:txbxContent>
          </v:textbox>
        </v:shape>
      </w:pic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A4MjkyNDIzMTdiNDUwZTgxMWQzYWYzMjZjNWNhNmIifQ=="/>
  </w:docVars>
  <w:rsids>
    <w:rsidRoot w:val="00172A27"/>
    <w:rsid w:val="00004D0F"/>
    <w:rsid w:val="000227FE"/>
    <w:rsid w:val="00022BBE"/>
    <w:rsid w:val="00031DEA"/>
    <w:rsid w:val="00043AD0"/>
    <w:rsid w:val="00080B9A"/>
    <w:rsid w:val="000B026B"/>
    <w:rsid w:val="000B2A88"/>
    <w:rsid w:val="000F657D"/>
    <w:rsid w:val="00116A6E"/>
    <w:rsid w:val="0012088C"/>
    <w:rsid w:val="00171CF1"/>
    <w:rsid w:val="001C5573"/>
    <w:rsid w:val="001C6A75"/>
    <w:rsid w:val="001E0925"/>
    <w:rsid w:val="001E1D53"/>
    <w:rsid w:val="001F40FC"/>
    <w:rsid w:val="001F4A24"/>
    <w:rsid w:val="00205D05"/>
    <w:rsid w:val="002158F8"/>
    <w:rsid w:val="00242359"/>
    <w:rsid w:val="00246CCD"/>
    <w:rsid w:val="00255750"/>
    <w:rsid w:val="0025752E"/>
    <w:rsid w:val="0028545F"/>
    <w:rsid w:val="00286EC3"/>
    <w:rsid w:val="002A070F"/>
    <w:rsid w:val="002A4A92"/>
    <w:rsid w:val="002D16DB"/>
    <w:rsid w:val="002D31DE"/>
    <w:rsid w:val="002E52AF"/>
    <w:rsid w:val="00311E99"/>
    <w:rsid w:val="0032118E"/>
    <w:rsid w:val="00333F25"/>
    <w:rsid w:val="00344F17"/>
    <w:rsid w:val="00370687"/>
    <w:rsid w:val="00396DC6"/>
    <w:rsid w:val="003973B0"/>
    <w:rsid w:val="003B4946"/>
    <w:rsid w:val="003C076C"/>
    <w:rsid w:val="003C0CDE"/>
    <w:rsid w:val="003F6FD3"/>
    <w:rsid w:val="004412B2"/>
    <w:rsid w:val="00453D20"/>
    <w:rsid w:val="00496BC9"/>
    <w:rsid w:val="004D0B46"/>
    <w:rsid w:val="004D4BB3"/>
    <w:rsid w:val="004F439F"/>
    <w:rsid w:val="004F5671"/>
    <w:rsid w:val="004F6844"/>
    <w:rsid w:val="00504FC3"/>
    <w:rsid w:val="0054272D"/>
    <w:rsid w:val="00571A2B"/>
    <w:rsid w:val="00585212"/>
    <w:rsid w:val="00587BBC"/>
    <w:rsid w:val="005B01D1"/>
    <w:rsid w:val="005D1B4A"/>
    <w:rsid w:val="005D7F74"/>
    <w:rsid w:val="00627DC3"/>
    <w:rsid w:val="006462BE"/>
    <w:rsid w:val="00666399"/>
    <w:rsid w:val="006813D9"/>
    <w:rsid w:val="00692D84"/>
    <w:rsid w:val="006E68E1"/>
    <w:rsid w:val="0070141E"/>
    <w:rsid w:val="007402B0"/>
    <w:rsid w:val="00767D5E"/>
    <w:rsid w:val="00774DAB"/>
    <w:rsid w:val="007814C4"/>
    <w:rsid w:val="007849C9"/>
    <w:rsid w:val="007E3E62"/>
    <w:rsid w:val="007F766A"/>
    <w:rsid w:val="008038F8"/>
    <w:rsid w:val="00834AD6"/>
    <w:rsid w:val="0085422A"/>
    <w:rsid w:val="008B585C"/>
    <w:rsid w:val="008E7FF2"/>
    <w:rsid w:val="008F7100"/>
    <w:rsid w:val="009113CA"/>
    <w:rsid w:val="00923206"/>
    <w:rsid w:val="009651D4"/>
    <w:rsid w:val="009C5692"/>
    <w:rsid w:val="00A15142"/>
    <w:rsid w:val="00A231D2"/>
    <w:rsid w:val="00A64577"/>
    <w:rsid w:val="00A84BFD"/>
    <w:rsid w:val="00AC32B4"/>
    <w:rsid w:val="00AC3519"/>
    <w:rsid w:val="00B32643"/>
    <w:rsid w:val="00B64558"/>
    <w:rsid w:val="00B8124B"/>
    <w:rsid w:val="00BE178D"/>
    <w:rsid w:val="00C05263"/>
    <w:rsid w:val="00C052DA"/>
    <w:rsid w:val="00C17FDF"/>
    <w:rsid w:val="00C750FA"/>
    <w:rsid w:val="00C83CCE"/>
    <w:rsid w:val="00CB3191"/>
    <w:rsid w:val="00CB50A7"/>
    <w:rsid w:val="00D2073F"/>
    <w:rsid w:val="00D300B8"/>
    <w:rsid w:val="00D425F7"/>
    <w:rsid w:val="00D553CD"/>
    <w:rsid w:val="00DA0920"/>
    <w:rsid w:val="00DA1DAF"/>
    <w:rsid w:val="00DA6344"/>
    <w:rsid w:val="00DD27D4"/>
    <w:rsid w:val="00DD6054"/>
    <w:rsid w:val="00DE39EF"/>
    <w:rsid w:val="00DE49E1"/>
    <w:rsid w:val="00DF0678"/>
    <w:rsid w:val="00DF2BB1"/>
    <w:rsid w:val="00E12F0B"/>
    <w:rsid w:val="00E16A90"/>
    <w:rsid w:val="00EA1304"/>
    <w:rsid w:val="00EE10E3"/>
    <w:rsid w:val="00F02987"/>
    <w:rsid w:val="00F34BC5"/>
    <w:rsid w:val="00F53B5C"/>
    <w:rsid w:val="00F70E6E"/>
    <w:rsid w:val="00F949A2"/>
    <w:rsid w:val="00FA5973"/>
    <w:rsid w:val="00FE00A0"/>
    <w:rsid w:val="00FE0A25"/>
    <w:rsid w:val="01020BBD"/>
    <w:rsid w:val="0226366A"/>
    <w:rsid w:val="037D1975"/>
    <w:rsid w:val="0494765E"/>
    <w:rsid w:val="060E4C8C"/>
    <w:rsid w:val="06F41D9C"/>
    <w:rsid w:val="0822231F"/>
    <w:rsid w:val="08297C56"/>
    <w:rsid w:val="08427954"/>
    <w:rsid w:val="09D77AA2"/>
    <w:rsid w:val="0B3B581C"/>
    <w:rsid w:val="0BE06B47"/>
    <w:rsid w:val="0BEB167D"/>
    <w:rsid w:val="0CA47A6A"/>
    <w:rsid w:val="0E7F3222"/>
    <w:rsid w:val="0F692DC1"/>
    <w:rsid w:val="1007708A"/>
    <w:rsid w:val="10466F56"/>
    <w:rsid w:val="119F043C"/>
    <w:rsid w:val="14197592"/>
    <w:rsid w:val="148F43F3"/>
    <w:rsid w:val="156F1A2B"/>
    <w:rsid w:val="16DD4533"/>
    <w:rsid w:val="17C654F8"/>
    <w:rsid w:val="187109F7"/>
    <w:rsid w:val="18D13364"/>
    <w:rsid w:val="1A895A95"/>
    <w:rsid w:val="1AC81A8E"/>
    <w:rsid w:val="1B5377BD"/>
    <w:rsid w:val="1EAE1CCF"/>
    <w:rsid w:val="200F2CD0"/>
    <w:rsid w:val="20AF715D"/>
    <w:rsid w:val="22F66C21"/>
    <w:rsid w:val="238E1EE4"/>
    <w:rsid w:val="2414426C"/>
    <w:rsid w:val="28C51F2C"/>
    <w:rsid w:val="29D7389C"/>
    <w:rsid w:val="2AB50432"/>
    <w:rsid w:val="2CD54A5A"/>
    <w:rsid w:val="2D6B532F"/>
    <w:rsid w:val="2E136507"/>
    <w:rsid w:val="2EC572FD"/>
    <w:rsid w:val="2EE4765D"/>
    <w:rsid w:val="2F103898"/>
    <w:rsid w:val="2F2946C8"/>
    <w:rsid w:val="2F3E50E4"/>
    <w:rsid w:val="31011BAC"/>
    <w:rsid w:val="32293E23"/>
    <w:rsid w:val="32957541"/>
    <w:rsid w:val="32D123B9"/>
    <w:rsid w:val="32F004E5"/>
    <w:rsid w:val="3669028B"/>
    <w:rsid w:val="39400841"/>
    <w:rsid w:val="3A8628CD"/>
    <w:rsid w:val="3BAE4682"/>
    <w:rsid w:val="3C9D4A9F"/>
    <w:rsid w:val="3D680A70"/>
    <w:rsid w:val="3F246300"/>
    <w:rsid w:val="3F79514D"/>
    <w:rsid w:val="40F13A3D"/>
    <w:rsid w:val="415B2276"/>
    <w:rsid w:val="41A064E8"/>
    <w:rsid w:val="43C27935"/>
    <w:rsid w:val="445F32E8"/>
    <w:rsid w:val="4725184A"/>
    <w:rsid w:val="477E5495"/>
    <w:rsid w:val="483969AF"/>
    <w:rsid w:val="489E31AB"/>
    <w:rsid w:val="4A893CD0"/>
    <w:rsid w:val="4B2F39AB"/>
    <w:rsid w:val="4ECF7348"/>
    <w:rsid w:val="4F272FDA"/>
    <w:rsid w:val="4FB63425"/>
    <w:rsid w:val="51961337"/>
    <w:rsid w:val="542A7956"/>
    <w:rsid w:val="54821AC1"/>
    <w:rsid w:val="54A06F24"/>
    <w:rsid w:val="55AE136C"/>
    <w:rsid w:val="57BB0EDB"/>
    <w:rsid w:val="58016040"/>
    <w:rsid w:val="59E17352"/>
    <w:rsid w:val="59EF53FD"/>
    <w:rsid w:val="5C5D771A"/>
    <w:rsid w:val="60E44459"/>
    <w:rsid w:val="615A7AB7"/>
    <w:rsid w:val="62B10ADB"/>
    <w:rsid w:val="634D3C9D"/>
    <w:rsid w:val="64000630"/>
    <w:rsid w:val="65B974A2"/>
    <w:rsid w:val="66147B85"/>
    <w:rsid w:val="66303D3A"/>
    <w:rsid w:val="668C46FA"/>
    <w:rsid w:val="689437FA"/>
    <w:rsid w:val="69456ADE"/>
    <w:rsid w:val="696C280C"/>
    <w:rsid w:val="6C1115C1"/>
    <w:rsid w:val="6C5E40E2"/>
    <w:rsid w:val="70450A79"/>
    <w:rsid w:val="715762D9"/>
    <w:rsid w:val="721D5ED5"/>
    <w:rsid w:val="7392196D"/>
    <w:rsid w:val="74D15DE4"/>
    <w:rsid w:val="76623E9E"/>
    <w:rsid w:val="76D079D5"/>
    <w:rsid w:val="777F1636"/>
    <w:rsid w:val="78E349A9"/>
    <w:rsid w:val="7ACF79AA"/>
    <w:rsid w:val="7BCD5D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9">
    <w:name w:val="List Paragraph"/>
    <w:basedOn w:val="1"/>
    <w:qFormat/>
    <w:uiPriority w:val="34"/>
    <w:pPr>
      <w:ind w:firstLine="420" w:firstLineChars="200"/>
    </w:pPr>
  </w:style>
  <w:style w:type="character" w:customStyle="1" w:styleId="10">
    <w:name w:val="批注框文本 Char"/>
    <w:basedOn w:val="8"/>
    <w:link w:val="2"/>
    <w:semiHidden/>
    <w:qFormat/>
    <w:uiPriority w:val="99"/>
    <w:rPr>
      <w:sz w:val="18"/>
      <w:szCs w:val="18"/>
    </w:rPr>
  </w:style>
  <w:style w:type="character" w:customStyle="1" w:styleId="11">
    <w:name w:val="页脚 Char"/>
    <w:basedOn w:val="8"/>
    <w:link w:val="3"/>
    <w:qFormat/>
    <w:uiPriority w:val="99"/>
    <w:rPr>
      <w:sz w:val="18"/>
      <w:szCs w:val="18"/>
    </w:rPr>
  </w:style>
  <w:style w:type="character" w:customStyle="1" w:styleId="12">
    <w:name w:val="页眉 Char"/>
    <w:basedOn w:val="8"/>
    <w:link w:val="4"/>
    <w:semiHidden/>
    <w:qFormat/>
    <w:uiPriority w:val="99"/>
    <w:rPr>
      <w:sz w:val="18"/>
      <w:szCs w:val="18"/>
    </w:rPr>
  </w:style>
  <w:style w:type="character" w:customStyle="1" w:styleId="13">
    <w:name w:val="font01"/>
    <w:basedOn w:val="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379</Words>
  <Characters>443</Characters>
  <Lines>24</Lines>
  <Paragraphs>6</Paragraphs>
  <TotalTime>7</TotalTime>
  <ScaleCrop>false</ScaleCrop>
  <LinksUpToDate>false</LinksUpToDate>
  <CharactersWithSpaces>500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2019-01-02T09:18:00Z</dcterms:created>
  <dc:creator>微软用户</dc:creator>
  <cp:lastModifiedBy>张张</cp:lastModifiedBy>
  <cp:lastPrinted>2019-01-06T04:24:00Z</cp:lastPrinted>
  <dcterms:modified xsi:type="dcterms:W3CDTF">2023-10-20T02:30:40Z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3B959770AD4F440C9E259BF83C43226C_12</vt:lpwstr>
  </property>
</Properties>
</file>